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需求说明</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pct"/>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color w:val="auto"/>
                <w:sz w:val="30"/>
                <w:szCs w:val="30"/>
              </w:rPr>
            </w:pPr>
            <w:r>
              <w:rPr>
                <w:rFonts w:ascii="仿宋_GB2312" w:hAnsi="仿宋_GB2312" w:eastAsia="仿宋_GB2312" w:cs="仿宋_GB2312"/>
                <w:b w:val="0"/>
                <w:color w:val="auto"/>
                <w:sz w:val="30"/>
                <w:szCs w:val="30"/>
              </w:rPr>
              <w:t>项目名称</w:t>
            </w:r>
          </w:p>
        </w:tc>
        <w:tc>
          <w:tcPr>
            <w:tcW w:w="4079" w:type="pct"/>
          </w:tcPr>
          <w:p>
            <w:pPr>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机房超融合集群系统扩容</w:t>
            </w:r>
            <w:r>
              <w:rPr>
                <w:rFonts w:hint="eastAsia" w:ascii="仿宋_GB2312" w:hAnsi="仿宋_GB2312" w:eastAsia="仿宋_GB2312" w:cs="仿宋_GB2312"/>
                <w:color w:val="auto"/>
                <w:sz w:val="30"/>
                <w:szCs w:val="30"/>
                <w:lang w:val="en-US" w:eastAsia="zh-CN"/>
              </w:rPr>
              <w:t>服务器节点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920" w:type="pct"/>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b w:val="0"/>
                <w:bCs/>
                <w:color w:val="auto"/>
                <w:sz w:val="30"/>
                <w:szCs w:val="30"/>
                <w:shd w:val="clear" w:color="auto" w:fill="FFFFFF"/>
              </w:rPr>
            </w:pPr>
            <w:r>
              <w:rPr>
                <w:rFonts w:ascii="仿宋_GB2312" w:hAnsi="仿宋_GB2312" w:eastAsia="仿宋_GB2312" w:cs="仿宋_GB2312"/>
                <w:b w:val="0"/>
                <w:bCs/>
                <w:color w:val="auto"/>
                <w:sz w:val="30"/>
                <w:szCs w:val="30"/>
                <w:shd w:val="clear" w:color="auto" w:fill="FFFFFF"/>
              </w:rPr>
              <w:t>用途及主要功能</w:t>
            </w:r>
          </w:p>
        </w:tc>
        <w:tc>
          <w:tcPr>
            <w:tcW w:w="4079" w:type="pct"/>
          </w:tcPr>
          <w:p>
            <w:pPr>
              <w:numPr>
                <w:ilvl w:val="0"/>
                <w:numId w:val="1"/>
              </w:numPr>
              <w:spacing w:line="360" w:lineRule="auto"/>
              <w:ind w:firstLine="480"/>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主要用途</w:t>
            </w:r>
          </w:p>
          <w:p>
            <w:pPr>
              <w:numPr>
                <w:ilvl w:val="0"/>
                <w:numId w:val="0"/>
              </w:numPr>
              <w:spacing w:line="360" w:lineRule="auto"/>
              <w:ind w:firstLine="420" w:firstLineChars="200"/>
              <w:rPr>
                <w:rFonts w:hint="eastAsia" w:eastAsia="宋体"/>
                <w:color w:val="auto"/>
                <w:lang w:eastAsia="zh-CN"/>
              </w:rPr>
            </w:pPr>
            <w:r>
              <w:rPr>
                <w:rFonts w:hint="eastAsia" w:ascii="仿宋_GB2312" w:hAnsi="仿宋_GB2312" w:eastAsia="仿宋_GB2312" w:cs="仿宋_GB2312"/>
                <w:color w:val="auto"/>
                <w:szCs w:val="21"/>
                <w:lang w:val="en-US" w:eastAsia="zh-CN"/>
              </w:rPr>
              <w:t>根据国家下发的《国务院办公厅关于在政府采购中实施本国产品标准及相关政策的通知》、《数据库政府采购需求标准（2023年版）》及相关配套管理规定，为全面落实国家信息安全战略和医疗卫生行业信息化建设要求，全市各级各类医疗机构在新建、改建或升级核心业务信息系统时，必须严格遵循国家信息技术应用创新（信创）标准规范，优先选用进入国家信创目录且通过相关认证的信息技术产品和解决方案。然而，经过前期摸底排查发现，目前我院已使用基于国产化信息系统平台，该系统平台在核心技术、底层架构等方面均不支持国家信创标准要求。在当前全市统一部署开展的医疗卫生机构信息安全专项检查工作中，以及在年度医疗卫生机构信息化建设绩效考核评估指标体系中，信创产品的部署应用情况已被列为重点检查内容和关键考核指标，相关文件明确规定所有三级甲等医院必须在2027年底前完成核心业务系统的信创化改造，全面达到这一强制性技术要求，以切实保障医疗数据安全可控和信息系统自主可靠。</w:t>
            </w:r>
          </w:p>
          <w:p>
            <w:pPr>
              <w:spacing w:line="360" w:lineRule="auto"/>
              <w:ind w:firstLine="480"/>
              <w:rPr>
                <w:rFonts w:hint="eastAsia" w:eastAsia="宋体"/>
                <w:color w:val="auto"/>
                <w:lang w:eastAsia="zh-CN"/>
              </w:rPr>
            </w:pPr>
            <w:r>
              <w:rPr>
                <w:rFonts w:hint="eastAsia" w:ascii="仿宋_GB2312" w:hAnsi="仿宋_GB2312" w:eastAsia="仿宋_GB2312" w:cs="仿宋_GB2312"/>
                <w:color w:val="auto"/>
                <w:szCs w:val="21"/>
                <w:lang w:val="en-US" w:eastAsia="zh-CN"/>
              </w:rPr>
              <w:t>根据上述政策要求和医院信息化建设总体规划，我院决定启动核心业务系统信创化转型工程。按照对信创化采购要求，必须是关键软硬件设备的国产化进行替代即是采购国产化服务器；进而确保系统完全符合网络安全等级保护2.0标准的相关规定，为医院后续开展智慧医院建设、互联网医疗服务等创新应用提供安全稳定、自主可控的IT基础设施支撑。</w:t>
            </w:r>
          </w:p>
          <w:p>
            <w:pPr>
              <w:spacing w:line="360" w:lineRule="auto"/>
              <w:ind w:firstLine="480"/>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二、主要功能</w:t>
            </w:r>
          </w:p>
          <w:p>
            <w:pPr>
              <w:spacing w:line="360" w:lineRule="auto"/>
              <w:ind w:firstLine="480"/>
              <w:rPr>
                <w:rFonts w:hint="eastAsia" w:ascii="仿宋_GB2312" w:hAnsi="仿宋_GB2312" w:eastAsia="仿宋_GB2312" w:cs="仿宋_GB2312"/>
                <w:szCs w:val="21"/>
              </w:rPr>
            </w:pPr>
            <w:r>
              <w:rPr>
                <w:rFonts w:hint="eastAsia" w:ascii="仿宋_GB2312" w:hAnsi="仿宋_GB2312" w:eastAsia="仿宋_GB2312" w:cs="仿宋_GB2312"/>
                <w:szCs w:val="21"/>
              </w:rPr>
              <w:t>本项目的服务器作为医院核心业务系统的基础设施平台，主要用于支撑医院信息系统（</w:t>
            </w:r>
            <w:r>
              <w:rPr>
                <w:rFonts w:ascii="仿宋_GB2312" w:hAnsi="仿宋_GB2312" w:eastAsia="仿宋_GB2312" w:cs="仿宋_GB2312"/>
                <w:szCs w:val="21"/>
              </w:rPr>
              <w:t>HIS</w:t>
            </w:r>
            <w:r>
              <w:rPr>
                <w:rFonts w:hint="eastAsia" w:ascii="仿宋_GB2312" w:hAnsi="仿宋_GB2312" w:eastAsia="仿宋_GB2312" w:cs="仿宋_GB2312"/>
                <w:szCs w:val="21"/>
              </w:rPr>
              <w:t>）、电子病历系统（</w:t>
            </w:r>
            <w:r>
              <w:rPr>
                <w:rFonts w:ascii="仿宋_GB2312" w:hAnsi="仿宋_GB2312" w:eastAsia="仿宋_GB2312" w:cs="仿宋_GB2312"/>
                <w:szCs w:val="21"/>
              </w:rPr>
              <w:t>EMR</w:t>
            </w:r>
            <w:r>
              <w:rPr>
                <w:rFonts w:hint="eastAsia" w:ascii="仿宋_GB2312" w:hAnsi="仿宋_GB2312" w:eastAsia="仿宋_GB2312" w:cs="仿宋_GB2312"/>
                <w:szCs w:val="21"/>
              </w:rPr>
              <w:t>）、实验室信息系统（</w:t>
            </w:r>
            <w:r>
              <w:rPr>
                <w:rFonts w:ascii="仿宋_GB2312" w:hAnsi="仿宋_GB2312" w:eastAsia="仿宋_GB2312" w:cs="仿宋_GB2312"/>
                <w:szCs w:val="21"/>
              </w:rPr>
              <w:t>LIS</w:t>
            </w:r>
            <w:r>
              <w:rPr>
                <w:rFonts w:hint="eastAsia" w:ascii="仿宋_GB2312" w:hAnsi="仿宋_GB2312" w:eastAsia="仿宋_GB2312" w:cs="仿宋_GB2312"/>
                <w:szCs w:val="21"/>
              </w:rPr>
              <w:t>）、医学影像存档与通信系统（</w:t>
            </w:r>
            <w:r>
              <w:rPr>
                <w:rFonts w:ascii="仿宋_GB2312" w:hAnsi="仿宋_GB2312" w:eastAsia="仿宋_GB2312" w:cs="仿宋_GB2312"/>
                <w:szCs w:val="21"/>
              </w:rPr>
              <w:t>PACS</w:t>
            </w:r>
            <w:r>
              <w:rPr>
                <w:rFonts w:hint="eastAsia" w:ascii="仿宋_GB2312" w:hAnsi="仿宋_GB2312" w:eastAsia="仿宋_GB2312" w:cs="仿宋_GB2312"/>
                <w:szCs w:val="21"/>
              </w:rPr>
              <w:t>）等关键医疗业务系统的稳定运行。同时，该平台需满足医院数据中心云化转型、国产化替代及等保</w:t>
            </w:r>
            <w:r>
              <w:rPr>
                <w:rFonts w:ascii="仿宋_GB2312" w:hAnsi="仿宋_GB2312" w:eastAsia="仿宋_GB2312" w:cs="仿宋_GB2312"/>
                <w:szCs w:val="21"/>
              </w:rPr>
              <w:t xml:space="preserve"> 2.0 </w:t>
            </w:r>
            <w:r>
              <w:rPr>
                <w:rFonts w:hint="eastAsia" w:ascii="仿宋_GB2312" w:hAnsi="仿宋_GB2312" w:eastAsia="仿宋_GB2312" w:cs="仿宋_GB2312"/>
                <w:szCs w:val="21"/>
              </w:rPr>
              <w:t>合规要求，为智慧医院建设提供安全可靠的</w:t>
            </w:r>
            <w:r>
              <w:rPr>
                <w:rFonts w:ascii="仿宋_GB2312" w:hAnsi="仿宋_GB2312" w:eastAsia="仿宋_GB2312" w:cs="仿宋_GB2312"/>
                <w:szCs w:val="21"/>
              </w:rPr>
              <w:t xml:space="preserve"> IT </w:t>
            </w:r>
            <w:r>
              <w:rPr>
                <w:rFonts w:hint="eastAsia" w:ascii="仿宋_GB2312" w:hAnsi="仿宋_GB2312" w:eastAsia="仿宋_GB2312" w:cs="仿宋_GB2312"/>
                <w:szCs w:val="21"/>
              </w:rPr>
              <w:t>基础支撑。</w:t>
            </w:r>
            <w:r>
              <w:rPr>
                <w:rFonts w:hint="eastAsia" w:ascii="MS Gothic" w:hAnsi="MS Gothic" w:eastAsia="MS Gothic" w:cs="MS Gothic"/>
                <w:szCs w:val="21"/>
              </w:rPr>
              <w:t>​</w:t>
            </w:r>
          </w:p>
          <w:p>
            <w:pPr>
              <w:spacing w:line="360" w:lineRule="auto"/>
              <w:ind w:firstLine="480"/>
              <w:rPr>
                <w:rFonts w:hint="eastAsia" w:ascii="仿宋_GB2312" w:hAnsi="仿宋_GB2312" w:eastAsia="仿宋_GB2312" w:cs="仿宋_GB2312"/>
                <w:color w:val="auto"/>
                <w:szCs w:val="21"/>
              </w:rPr>
            </w:pPr>
            <w:r>
              <w:rPr>
                <w:rFonts w:hint="eastAsia" w:ascii="仿宋_GB2312" w:hAnsi="仿宋_GB2312" w:eastAsia="仿宋_GB2312" w:cs="仿宋_GB2312"/>
                <w:szCs w:val="21"/>
                <w:lang w:val="en-US" w:eastAsia="zh-CN"/>
              </w:rPr>
              <w:t>本项目</w:t>
            </w:r>
            <w:r>
              <w:rPr>
                <w:rFonts w:hint="eastAsia" w:ascii="仿宋_GB2312" w:hAnsi="仿宋_GB2312" w:eastAsia="仿宋_GB2312" w:cs="仿宋_GB2312"/>
                <w:szCs w:val="21"/>
              </w:rPr>
              <w:t>服务器</w:t>
            </w:r>
            <w:r>
              <w:rPr>
                <w:rFonts w:hint="eastAsia" w:ascii="仿宋_GB2312" w:hAnsi="仿宋_GB2312" w:eastAsia="仿宋_GB2312" w:cs="仿宋_GB2312"/>
                <w:szCs w:val="21"/>
                <w:lang w:val="en-US" w:eastAsia="zh-CN"/>
              </w:rPr>
              <w:t>需</w:t>
            </w:r>
            <w:r>
              <w:rPr>
                <w:rFonts w:hint="eastAsia" w:ascii="仿宋_GB2312" w:hAnsi="仿宋_GB2312" w:eastAsia="仿宋_GB2312" w:cs="仿宋_GB2312"/>
                <w:szCs w:val="21"/>
              </w:rPr>
              <w:t>基于国产内核处理器构建，具备高性能计算能力和原生安全特性，支持国密算法和硬件级安全防护，可有效保障医疗数据的机密性和完整性。超融合软件需整合计算、存储、网络资源于一体，提供分布式存储、虚拟化、高可用集群、数据备份与恢复等功能，实现医院 IT 资源的集中管理和弹性扩展，满足 7×24 小时不间断医疗服务需求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920" w:type="pct"/>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b w:val="0"/>
                <w:bCs/>
                <w:color w:val="auto"/>
                <w:sz w:val="30"/>
                <w:szCs w:val="30"/>
                <w:shd w:val="clear" w:color="auto" w:fill="FFFFFF"/>
              </w:rPr>
            </w:pPr>
            <w:r>
              <w:rPr>
                <w:rFonts w:ascii="仿宋_GB2312" w:hAnsi="仿宋_GB2312" w:eastAsia="仿宋_GB2312" w:cs="仿宋_GB2312"/>
                <w:b w:val="0"/>
                <w:bCs/>
                <w:color w:val="auto"/>
                <w:sz w:val="30"/>
                <w:szCs w:val="30"/>
                <w:shd w:val="clear" w:color="auto" w:fill="FFFFFF"/>
              </w:rPr>
              <w:t>建设内容</w:t>
            </w:r>
          </w:p>
          <w:p>
            <w:pPr>
              <w:pStyle w:val="2"/>
              <w:widowControl/>
              <w:shd w:val="clear" w:color="auto" w:fill="FFFFFF"/>
              <w:spacing w:before="0" w:beforeAutospacing="0" w:after="0" w:afterAutospacing="0" w:line="23" w:lineRule="atLeast"/>
              <w:jc w:val="center"/>
              <w:rPr>
                <w:rFonts w:ascii="仿宋_GB2312" w:hAnsi="仿宋_GB2312" w:eastAsia="仿宋_GB2312" w:cs="仿宋_GB2312"/>
                <w:b w:val="0"/>
                <w:bCs/>
                <w:color w:val="auto"/>
                <w:sz w:val="30"/>
                <w:szCs w:val="30"/>
                <w:shd w:val="clear" w:color="auto" w:fill="FFFFFF"/>
              </w:rPr>
            </w:pPr>
            <w:r>
              <w:rPr>
                <w:rFonts w:ascii="仿宋_GB2312" w:hAnsi="仿宋_GB2312" w:eastAsia="仿宋_GB2312" w:cs="仿宋_GB2312"/>
                <w:b w:val="0"/>
                <w:bCs/>
                <w:color w:val="auto"/>
                <w:sz w:val="30"/>
                <w:szCs w:val="30"/>
                <w:shd w:val="clear" w:color="auto" w:fill="FFFFFF"/>
              </w:rPr>
              <w:t>及功能技术要求</w:t>
            </w:r>
          </w:p>
        </w:tc>
        <w:tc>
          <w:tcPr>
            <w:tcW w:w="4079" w:type="pct"/>
          </w:tcPr>
          <w:p>
            <w:pPr>
              <w:spacing w:line="360" w:lineRule="auto"/>
              <w:ind w:firstLine="48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设备清单</w:t>
            </w:r>
          </w:p>
          <w:tbl>
            <w:tblPr>
              <w:tblStyle w:val="9"/>
              <w:tblW w:w="8499" w:type="dxa"/>
              <w:jc w:val="center"/>
              <w:tblLayout w:type="fixed"/>
              <w:tblCellMar>
                <w:top w:w="0" w:type="dxa"/>
                <w:left w:w="108" w:type="dxa"/>
                <w:bottom w:w="0" w:type="dxa"/>
                <w:right w:w="108" w:type="dxa"/>
              </w:tblCellMar>
            </w:tblPr>
            <w:tblGrid>
              <w:gridCol w:w="1251"/>
              <w:gridCol w:w="5225"/>
              <w:gridCol w:w="2023"/>
            </w:tblGrid>
            <w:tr>
              <w:tblPrEx>
                <w:tblCellMar>
                  <w:top w:w="0" w:type="dxa"/>
                  <w:left w:w="108" w:type="dxa"/>
                  <w:bottom w:w="0" w:type="dxa"/>
                  <w:right w:w="108" w:type="dxa"/>
                </w:tblCellMar>
              </w:tblPrEx>
              <w:trPr>
                <w:trHeight w:val="57" w:hRule="atLeast"/>
                <w:jc w:val="center"/>
              </w:trPr>
              <w:tc>
                <w:tcPr>
                  <w:tcW w:w="12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kern w:val="0"/>
                      <w:szCs w:val="21"/>
                      <w:lang w:bidi="ar"/>
                    </w:rPr>
                    <w:t>名称</w:t>
                  </w:r>
                </w:p>
              </w:tc>
              <w:tc>
                <w:tcPr>
                  <w:tcW w:w="52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kern w:val="0"/>
                      <w:szCs w:val="21"/>
                      <w:lang w:bidi="ar"/>
                    </w:rPr>
                    <w:t>配置描述</w:t>
                  </w:r>
                </w:p>
              </w:tc>
              <w:tc>
                <w:tcPr>
                  <w:tcW w:w="20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kern w:val="0"/>
                      <w:szCs w:val="21"/>
                      <w:lang w:bidi="ar"/>
                    </w:rPr>
                    <w:t>数量/套</w:t>
                  </w:r>
                </w:p>
              </w:tc>
            </w:tr>
            <w:tr>
              <w:tblPrEx>
                <w:tblCellMar>
                  <w:top w:w="0" w:type="dxa"/>
                  <w:left w:w="108" w:type="dxa"/>
                  <w:bottom w:w="0" w:type="dxa"/>
                  <w:right w:w="108" w:type="dxa"/>
                </w:tblCellMar>
              </w:tblPrEx>
              <w:trPr>
                <w:trHeight w:val="521" w:hRule="atLeast"/>
                <w:jc w:val="center"/>
              </w:trPr>
              <w:tc>
                <w:tcPr>
                  <w:tcW w:w="12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b/>
                      <w:bCs/>
                      <w:color w:val="auto"/>
                      <w:szCs w:val="21"/>
                    </w:rPr>
                  </w:pPr>
                  <w:r>
                    <w:rPr>
                      <w:rFonts w:hint="eastAsia" w:ascii="仿宋" w:hAnsi="仿宋" w:eastAsia="仿宋"/>
                      <w:b/>
                      <w:bCs/>
                      <w:color w:val="auto"/>
                      <w:kern w:val="0"/>
                      <w:szCs w:val="21"/>
                      <w:lang w:bidi="ar"/>
                    </w:rPr>
                    <w:t>超融合</w:t>
                  </w:r>
                  <w:r>
                    <w:rPr>
                      <w:rFonts w:hint="eastAsia" w:ascii="仿宋" w:hAnsi="仿宋" w:eastAsia="仿宋"/>
                      <w:b/>
                      <w:bCs/>
                      <w:color w:val="auto"/>
                      <w:kern w:val="0"/>
                      <w:szCs w:val="21"/>
                      <w:lang w:bidi="ar"/>
                    </w:rPr>
                    <w:br w:type="textWrapping"/>
                  </w:r>
                  <w:r>
                    <w:rPr>
                      <w:rFonts w:hint="eastAsia" w:ascii="仿宋" w:hAnsi="仿宋" w:eastAsia="仿宋"/>
                      <w:b/>
                      <w:bCs/>
                      <w:color w:val="auto"/>
                      <w:kern w:val="0"/>
                      <w:szCs w:val="21"/>
                      <w:lang w:bidi="ar"/>
                    </w:rPr>
                    <w:t>服务器</w:t>
                  </w:r>
                </w:p>
              </w:tc>
              <w:tc>
                <w:tcPr>
                  <w:tcW w:w="5225"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需要满足以下最低服务器配置</w:t>
                  </w:r>
                </w:p>
                <w:p>
                  <w:pPr>
                    <w:widowControl/>
                    <w:jc w:val="left"/>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服务器：符合国产化、信创标准的通用 C86服务器。</w:t>
                  </w:r>
                </w:p>
                <w:p>
                  <w:pPr>
                    <w:spacing w:line="360" w:lineRule="auto"/>
                    <w:rPr>
                      <w:rFonts w:hint="eastAsia" w:ascii="仿宋" w:hAnsi="仿宋" w:eastAsia="仿宋"/>
                      <w:color w:val="000000"/>
                      <w:kern w:val="0"/>
                      <w:szCs w:val="21"/>
                      <w:lang w:bidi="ar"/>
                    </w:rPr>
                  </w:pPr>
                  <w:r>
                    <w:rPr>
                      <w:rFonts w:hint="eastAsia" w:ascii="仿宋" w:hAnsi="仿宋" w:eastAsia="仿宋"/>
                      <w:color w:val="000000"/>
                      <w:kern w:val="0"/>
                      <w:szCs w:val="21"/>
                      <w:lang w:bidi="ar"/>
                    </w:rPr>
                    <w:t>CPU：</w:t>
                  </w:r>
                  <w:r>
                    <w:rPr>
                      <w:rFonts w:hint="eastAsia" w:ascii="仿宋_GB2312" w:hAnsi="仿宋_GB2312" w:eastAsia="仿宋_GB2312" w:cs="仿宋_GB2312"/>
                      <w:szCs w:val="21"/>
                    </w:rPr>
                    <w:t>至少</w:t>
                  </w:r>
                  <w:r>
                    <w:rPr>
                      <w:rFonts w:hint="eastAsia" w:ascii="仿宋" w:hAnsi="仿宋" w:eastAsia="仿宋"/>
                      <w:color w:val="000000"/>
                      <w:kern w:val="0"/>
                      <w:szCs w:val="21"/>
                      <w:lang w:bidi="ar"/>
                    </w:rPr>
                    <w:t xml:space="preserve"> 2 颗，核数32Core，主频 2.5 GHz 以上。</w:t>
                  </w:r>
                </w:p>
                <w:p>
                  <w:pPr>
                    <w:widowControl/>
                    <w:jc w:val="left"/>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内存：512 GB 以上。</w:t>
                  </w:r>
                </w:p>
                <w:p>
                  <w:pPr>
                    <w:widowControl/>
                    <w:jc w:val="left"/>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存储控制器：1 张 SAS HBA 卡或支持直通模式的 RAID 卡。</w:t>
                  </w:r>
                </w:p>
                <w:p>
                  <w:pPr>
                    <w:widowControl/>
                    <w:jc w:val="left"/>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 xml:space="preserve">SSD：至少 2 块，单块容量 </w:t>
                  </w:r>
                  <w:r>
                    <w:rPr>
                      <w:rFonts w:ascii="仿宋_GB2312" w:hAnsi="仿宋_GB2312" w:eastAsia="仿宋_GB2312" w:cs="仿宋_GB2312"/>
                      <w:color w:val="auto"/>
                      <w:szCs w:val="21"/>
                    </w:rPr>
                    <w:t>3.</w:t>
                  </w:r>
                  <w:r>
                    <w:rPr>
                      <w:rFonts w:hint="eastAsia" w:ascii="仿宋_GB2312" w:hAnsi="仿宋_GB2312" w:eastAsia="仿宋_GB2312" w:cs="仿宋_GB2312"/>
                      <w:color w:val="auto"/>
                      <w:szCs w:val="21"/>
                      <w:lang w:val="en-US" w:eastAsia="zh-CN"/>
                    </w:rPr>
                    <w:t>84</w:t>
                  </w:r>
                  <w:r>
                    <w:rPr>
                      <w:rFonts w:ascii="仿宋_GB2312" w:hAnsi="仿宋_GB2312" w:eastAsia="仿宋_GB2312" w:cs="仿宋_GB2312"/>
                      <w:color w:val="auto"/>
                      <w:szCs w:val="21"/>
                    </w:rPr>
                    <w:t xml:space="preserve"> </w:t>
                  </w:r>
                  <w:r>
                    <w:rPr>
                      <w:rFonts w:hint="eastAsia" w:ascii="仿宋" w:hAnsi="仿宋" w:eastAsia="仿宋"/>
                      <w:color w:val="000000"/>
                      <w:kern w:val="0"/>
                      <w:szCs w:val="21"/>
                      <w:lang w:bidi="ar"/>
                    </w:rPr>
                    <w:t xml:space="preserve"> TB 以上。</w:t>
                  </w:r>
                </w:p>
                <w:p>
                  <w:pPr>
                    <w:widowControl/>
                    <w:jc w:val="left"/>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 xml:space="preserve">HDD：至少 4 块，单块容量 </w:t>
                  </w:r>
                  <w:r>
                    <w:rPr>
                      <w:rFonts w:hint="eastAsia" w:ascii="仿宋_GB2312" w:hAnsi="仿宋_GB2312" w:eastAsia="仿宋_GB2312" w:cs="仿宋_GB2312"/>
                      <w:color w:val="auto"/>
                      <w:szCs w:val="21"/>
                      <w:lang w:val="en-US" w:eastAsia="zh-CN"/>
                    </w:rPr>
                    <w:t>16</w:t>
                  </w:r>
                  <w:r>
                    <w:rPr>
                      <w:rFonts w:hint="eastAsia" w:ascii="仿宋" w:hAnsi="仿宋" w:eastAsia="仿宋"/>
                      <w:color w:val="000000"/>
                      <w:kern w:val="0"/>
                      <w:szCs w:val="21"/>
                      <w:lang w:bidi="ar"/>
                    </w:rPr>
                    <w:t xml:space="preserve"> TB 以上。</w:t>
                  </w:r>
                </w:p>
                <w:p>
                  <w:pPr>
                    <w:widowControl/>
                    <w:jc w:val="left"/>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启动盘：至少 2 块，单块容量 480 GB 以上。</w:t>
                  </w:r>
                </w:p>
                <w:p>
                  <w:pPr>
                    <w:widowControl/>
                    <w:jc w:val="left"/>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 xml:space="preserve">网口：至少 4 个1 GbE 和 4 个 </w:t>
                  </w:r>
                  <w:r>
                    <w:rPr>
                      <w:rFonts w:ascii="仿宋_GB2312" w:hAnsi="仿宋_GB2312" w:eastAsia="仿宋_GB2312" w:cs="仿宋_GB2312"/>
                      <w:color w:val="auto"/>
                      <w:szCs w:val="21"/>
                    </w:rPr>
                    <w:t>10</w:t>
                  </w:r>
                  <w:r>
                    <w:rPr>
                      <w:rFonts w:hint="eastAsia" w:ascii="仿宋_GB2312" w:hAnsi="仿宋_GB2312" w:eastAsia="仿宋_GB2312" w:cs="仿宋_GB2312"/>
                      <w:color w:val="auto"/>
                      <w:szCs w:val="21"/>
                      <w:lang w:val="en-US" w:eastAsia="zh-CN"/>
                    </w:rPr>
                    <w:t>/25</w:t>
                  </w:r>
                  <w:r>
                    <w:rPr>
                      <w:rFonts w:hint="eastAsia" w:ascii="仿宋" w:hAnsi="仿宋" w:eastAsia="仿宋"/>
                      <w:color w:val="000000"/>
                      <w:kern w:val="0"/>
                      <w:szCs w:val="21"/>
                      <w:lang w:bidi="ar"/>
                    </w:rPr>
                    <w:t xml:space="preserve"> GbE。</w:t>
                  </w:r>
                  <w:bookmarkStart w:id="0" w:name="_GoBack"/>
                  <w:bookmarkEnd w:id="0"/>
                </w:p>
                <w:p>
                  <w:pPr>
                    <w:widowControl/>
                    <w:jc w:val="left"/>
                    <w:textAlignment w:val="center"/>
                    <w:rPr>
                      <w:rFonts w:hint="eastAsia" w:ascii="仿宋" w:hAnsi="仿宋" w:eastAsia="仿宋"/>
                      <w:color w:val="auto"/>
                      <w:kern w:val="0"/>
                      <w:szCs w:val="21"/>
                      <w:lang w:bidi="ar"/>
                    </w:rPr>
                  </w:pPr>
                  <w:r>
                    <w:rPr>
                      <w:rFonts w:hint="eastAsia" w:ascii="仿宋" w:hAnsi="仿宋" w:eastAsia="仿宋"/>
                      <w:color w:val="000000"/>
                      <w:kern w:val="0"/>
                      <w:szCs w:val="21"/>
                      <w:lang w:bidi="ar"/>
                    </w:rPr>
                    <w:t>包含永久授权的超融合软件（提供计算虚拟化、网络虚拟化、存储虚拟化软件，并支持信创服务器），提供原厂3年软硬件保修服务。</w:t>
                  </w:r>
                </w:p>
              </w:tc>
              <w:tc>
                <w:tcPr>
                  <w:tcW w:w="202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b/>
                      <w:bCs/>
                      <w:color w:val="auto"/>
                      <w:szCs w:val="21"/>
                      <w:highlight w:val="yellow"/>
                    </w:rPr>
                  </w:pPr>
                  <w:r>
                    <w:rPr>
                      <w:rFonts w:hint="eastAsia" w:ascii="仿宋" w:hAnsi="仿宋" w:eastAsia="仿宋"/>
                      <w:b/>
                      <w:bCs/>
                      <w:color w:val="auto"/>
                      <w:kern w:val="0"/>
                      <w:szCs w:val="21"/>
                      <w:highlight w:val="yellow"/>
                      <w:lang w:val="en-US" w:eastAsia="zh-CN" w:bidi="ar"/>
                    </w:rPr>
                    <w:t>3</w:t>
                  </w:r>
                  <w:r>
                    <w:rPr>
                      <w:rFonts w:hint="eastAsia" w:ascii="仿宋" w:hAnsi="仿宋" w:eastAsia="仿宋"/>
                      <w:b/>
                      <w:bCs/>
                      <w:color w:val="auto"/>
                      <w:kern w:val="0"/>
                      <w:szCs w:val="21"/>
                      <w:highlight w:val="yellow"/>
                      <w:lang w:bidi="ar"/>
                    </w:rPr>
                    <w:t>套</w:t>
                  </w: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right w:val="single" w:color="000000" w:sz="4" w:space="0"/>
                  </w:tcBorders>
                  <w:vAlign w:val="center"/>
                </w:tcPr>
                <w:p>
                  <w:pPr>
                    <w:widowControl/>
                    <w:jc w:val="left"/>
                    <w:textAlignment w:val="center"/>
                    <w:rPr>
                      <w:rFonts w:hint="eastAsia" w:ascii="仿宋" w:hAnsi="仿宋" w:eastAsia="仿宋"/>
                      <w:color w:val="auto"/>
                      <w:szCs w:val="21"/>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r>
              <w:tblPrEx>
                <w:tblCellMar>
                  <w:top w:w="0" w:type="dxa"/>
                  <w:left w:w="108" w:type="dxa"/>
                  <w:bottom w:w="0" w:type="dxa"/>
                  <w:right w:w="108" w:type="dxa"/>
                </w:tblCellMar>
              </w:tblPrEx>
              <w:trPr>
                <w:trHeight w:val="521"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b/>
                      <w:bCs/>
                      <w:color w:val="auto"/>
                      <w:szCs w:val="21"/>
                    </w:rPr>
                  </w:pPr>
                </w:p>
              </w:tc>
              <w:tc>
                <w:tcPr>
                  <w:tcW w:w="5225"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olor w:val="auto"/>
                      <w:kern w:val="0"/>
                      <w:szCs w:val="21"/>
                      <w:lang w:bidi="ar"/>
                    </w:rPr>
                  </w:pPr>
                </w:p>
              </w:tc>
              <w:tc>
                <w:tcPr>
                  <w:tcW w:w="2023"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bCs/>
                      <w:color w:val="auto"/>
                      <w:szCs w:val="21"/>
                    </w:rPr>
                  </w:pPr>
                </w:p>
              </w:tc>
            </w:tr>
          </w:tbl>
          <w:p>
            <w:pPr>
              <w:spacing w:line="360" w:lineRule="auto"/>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920" w:type="pct"/>
            <w:vAlign w:val="center"/>
          </w:tcPr>
          <w:p>
            <w:pPr>
              <w:pStyle w:val="2"/>
              <w:widowControl/>
              <w:shd w:val="clear" w:color="auto" w:fill="FFFFFF"/>
              <w:spacing w:before="0" w:beforeAutospacing="0" w:after="0" w:afterAutospacing="0" w:line="23" w:lineRule="atLeast"/>
              <w:jc w:val="center"/>
              <w:rPr>
                <w:rFonts w:ascii="仿宋_GB2312" w:hAnsi="仿宋_GB2312" w:eastAsia="仿宋_GB2312" w:cs="仿宋_GB2312"/>
                <w:b w:val="0"/>
                <w:bCs/>
                <w:color w:val="auto"/>
                <w:sz w:val="30"/>
                <w:szCs w:val="30"/>
                <w:shd w:val="clear" w:color="auto" w:fill="FFFFFF"/>
              </w:rPr>
            </w:pPr>
            <w:r>
              <w:rPr>
                <w:rFonts w:ascii="仿宋_GB2312" w:hAnsi="仿宋_GB2312" w:eastAsia="仿宋_GB2312" w:cs="仿宋_GB2312"/>
                <w:b w:val="0"/>
                <w:bCs/>
                <w:color w:val="auto"/>
                <w:sz w:val="30"/>
                <w:szCs w:val="30"/>
                <w:shd w:val="clear" w:color="auto" w:fill="FFFFFF"/>
              </w:rPr>
              <w:t>实施及后续运维服务要求</w:t>
            </w:r>
          </w:p>
        </w:tc>
        <w:tc>
          <w:tcPr>
            <w:tcW w:w="4079" w:type="pct"/>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1、针对现有设备：提供服务时须提供原厂售后服务承诺函原件。2、提供设备上门升级实施服务，</w:t>
            </w:r>
            <w:r>
              <w:rPr>
                <w:rFonts w:hint="eastAsia" w:ascii="仿宋_GB2312" w:hAnsi="仿宋_GB2312" w:eastAsia="仿宋_GB2312" w:cs="仿宋_GB2312"/>
                <w:color w:val="auto"/>
                <w:szCs w:val="21"/>
                <w:lang w:val="en-US" w:eastAsia="zh-CN"/>
              </w:rPr>
              <w:t>三</w:t>
            </w:r>
            <w:r>
              <w:rPr>
                <w:rFonts w:hint="eastAsia" w:ascii="仿宋_GB2312" w:hAnsi="仿宋_GB2312" w:eastAsia="仿宋_GB2312" w:cs="仿宋_GB2312"/>
                <w:color w:val="auto"/>
                <w:szCs w:val="21"/>
              </w:rPr>
              <w:t>年内应急响应，远程解决不了的上门服务，2小时内上门处理。3、保修官方</w:t>
            </w:r>
            <w:r>
              <w:rPr>
                <w:rFonts w:hint="eastAsia" w:ascii="仿宋_GB2312" w:hAnsi="仿宋_GB2312" w:eastAsia="仿宋_GB2312" w:cs="仿宋_GB2312"/>
                <w:color w:val="auto"/>
                <w:szCs w:val="21"/>
                <w:lang w:val="en-US" w:eastAsia="zh-CN"/>
              </w:rPr>
              <w:t>不低于3</w:t>
            </w:r>
            <w:r>
              <w:rPr>
                <w:rFonts w:hint="eastAsia" w:ascii="仿宋_GB2312" w:hAnsi="仿宋_GB2312" w:eastAsia="仿宋_GB2312" w:cs="仿宋_GB2312"/>
                <w:color w:val="auto"/>
                <w:szCs w:val="21"/>
              </w:rPr>
              <w:t>年保修，可以根据机器编号查询。现场技术支持：对于通过电话、邮件等远程技术支持不能解决的问题，乙方应在8小时内派遣相关人员赶赴现场， 6小时内维修完毕；发生紧急抢修事故的，乙方应在接到甲方通知后6小时内到达现场抢修，并于到达现场3小时之内排除故障。乙方未在约定时间内修复的或同一货物经 3次维修后仍不能稳定、可靠运行的，甲方有权要求乙方免费更换。返修或更换后的部件保修期应重新计算。</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应具有稳定的技术支持队伍和完善的服务支持网络，提供7*12小时技术支持服务，及时响应甲方的技术</w:t>
            </w:r>
          </w:p>
        </w:tc>
      </w:tr>
    </w:tbl>
    <w:p>
      <w:pPr>
        <w:rPr>
          <w:rFonts w:hint="eastAsia" w:ascii="仿宋_GB2312" w:hAnsi="仿宋_GB2312" w:eastAsia="仿宋_GB2312" w:cs="仿宋_GB2312"/>
          <w:sz w:val="32"/>
          <w:szCs w:val="32"/>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FABDC997-9287-4656-90F4-A01DE5BAED56}"/>
  </w:font>
  <w:font w:name="仿宋_GB2312">
    <w:panose1 w:val="02010609030101010101"/>
    <w:charset w:val="86"/>
    <w:family w:val="modern"/>
    <w:pitch w:val="default"/>
    <w:sig w:usb0="00000001" w:usb1="080E0000" w:usb2="00000000" w:usb3="00000000" w:csb0="00040000" w:csb1="00000000"/>
    <w:embedRegular r:id="rId2" w:fontKey="{3D782F99-38B2-476E-B959-364A2B5DDFD0}"/>
  </w:font>
  <w:font w:name="MS Gothic">
    <w:panose1 w:val="020B0609070205080204"/>
    <w:charset w:val="80"/>
    <w:family w:val="modern"/>
    <w:pitch w:val="default"/>
    <w:sig w:usb0="E00002FF" w:usb1="6AC7FDFB" w:usb2="08000012" w:usb3="00000000" w:csb0="4002009F" w:csb1="DFD70000"/>
    <w:embedRegular r:id="rId3" w:fontKey="{2D0CF22F-7633-40B5-98CC-C6D73F99D879}"/>
  </w:font>
  <w:font w:name="仿宋">
    <w:panose1 w:val="02010609060101010101"/>
    <w:charset w:val="86"/>
    <w:family w:val="modern"/>
    <w:pitch w:val="default"/>
    <w:sig w:usb0="800002BF" w:usb1="38CF7CFA" w:usb2="00000016" w:usb3="00000000" w:csb0="00040001" w:csb1="00000000"/>
    <w:embedRegular r:id="rId4" w:fontKey="{8681B73E-9AFA-47CE-A707-5769A29973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5C2BD"/>
    <w:multiLevelType w:val="singleLevel"/>
    <w:tmpl w:val="9975C2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04"/>
    <w:rsid w:val="000A7758"/>
    <w:rsid w:val="000C235D"/>
    <w:rsid w:val="0010515E"/>
    <w:rsid w:val="00110A6A"/>
    <w:rsid w:val="001306F3"/>
    <w:rsid w:val="002775D0"/>
    <w:rsid w:val="0029525C"/>
    <w:rsid w:val="002B16BB"/>
    <w:rsid w:val="002B3848"/>
    <w:rsid w:val="002E26AB"/>
    <w:rsid w:val="0035796D"/>
    <w:rsid w:val="00392202"/>
    <w:rsid w:val="003F5261"/>
    <w:rsid w:val="003F6645"/>
    <w:rsid w:val="00434029"/>
    <w:rsid w:val="00457BC1"/>
    <w:rsid w:val="004C0376"/>
    <w:rsid w:val="004C7884"/>
    <w:rsid w:val="004F0C01"/>
    <w:rsid w:val="0062536D"/>
    <w:rsid w:val="00663F69"/>
    <w:rsid w:val="00687AAC"/>
    <w:rsid w:val="00733E34"/>
    <w:rsid w:val="00733E65"/>
    <w:rsid w:val="00746B0B"/>
    <w:rsid w:val="00783CAB"/>
    <w:rsid w:val="007A16B8"/>
    <w:rsid w:val="007B1EE3"/>
    <w:rsid w:val="007E2E9E"/>
    <w:rsid w:val="007F3D04"/>
    <w:rsid w:val="00855E36"/>
    <w:rsid w:val="00881CFA"/>
    <w:rsid w:val="008E703A"/>
    <w:rsid w:val="009E6FA3"/>
    <w:rsid w:val="00A235DB"/>
    <w:rsid w:val="00A30BCC"/>
    <w:rsid w:val="00A37A3F"/>
    <w:rsid w:val="00AA2BAE"/>
    <w:rsid w:val="00AB7A81"/>
    <w:rsid w:val="00AD474E"/>
    <w:rsid w:val="00B3347E"/>
    <w:rsid w:val="00B9490F"/>
    <w:rsid w:val="00BC1837"/>
    <w:rsid w:val="00BD5C7B"/>
    <w:rsid w:val="00C77E87"/>
    <w:rsid w:val="00C8701C"/>
    <w:rsid w:val="00CD1532"/>
    <w:rsid w:val="00CD6E2D"/>
    <w:rsid w:val="00CF75C8"/>
    <w:rsid w:val="00D03834"/>
    <w:rsid w:val="00D20A56"/>
    <w:rsid w:val="00D25BCB"/>
    <w:rsid w:val="00D907E2"/>
    <w:rsid w:val="00DB47E3"/>
    <w:rsid w:val="00DC5571"/>
    <w:rsid w:val="00E873D7"/>
    <w:rsid w:val="00F3008E"/>
    <w:rsid w:val="00F356C0"/>
    <w:rsid w:val="00F71DF7"/>
    <w:rsid w:val="00FB3C19"/>
    <w:rsid w:val="00FD2776"/>
    <w:rsid w:val="024F00AA"/>
    <w:rsid w:val="0490503F"/>
    <w:rsid w:val="06981557"/>
    <w:rsid w:val="0D187F42"/>
    <w:rsid w:val="0DBF2F70"/>
    <w:rsid w:val="192D5062"/>
    <w:rsid w:val="1D6B4069"/>
    <w:rsid w:val="2BCE466D"/>
    <w:rsid w:val="30D41B5C"/>
    <w:rsid w:val="3262338D"/>
    <w:rsid w:val="39AC621C"/>
    <w:rsid w:val="3C00468D"/>
    <w:rsid w:val="41A81761"/>
    <w:rsid w:val="499F3B15"/>
    <w:rsid w:val="4DD802BF"/>
    <w:rsid w:val="4E1C1427"/>
    <w:rsid w:val="4FDF70B3"/>
    <w:rsid w:val="58F130E8"/>
    <w:rsid w:val="61A00737"/>
    <w:rsid w:val="658A40FF"/>
    <w:rsid w:val="65926674"/>
    <w:rsid w:val="678D0FBE"/>
    <w:rsid w:val="69EA5DD9"/>
    <w:rsid w:val="6AEE29FD"/>
    <w:rsid w:val="6B705AE9"/>
    <w:rsid w:val="6DE03A44"/>
    <w:rsid w:val="744C6EF2"/>
    <w:rsid w:val="782C0AC3"/>
    <w:rsid w:val="790A575E"/>
    <w:rsid w:val="7F82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380" w:lineRule="exact"/>
    </w:pPr>
    <w:rPr>
      <w:sz w:val="24"/>
    </w:rPr>
  </w:style>
  <w:style w:type="paragraph" w:customStyle="1" w:styleId="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6">
    <w:name w:val="footer"/>
    <w:basedOn w:val="1"/>
    <w:link w:val="13"/>
    <w:qFormat/>
    <w:uiPriority w:val="0"/>
    <w:pPr>
      <w:tabs>
        <w:tab w:val="center" w:pos="4153"/>
        <w:tab w:val="right" w:pos="8306"/>
      </w:tabs>
      <w:snapToGrid w:val="0"/>
      <w:spacing w:line="240" w:lineRule="auto"/>
      <w:jc w:val="left"/>
    </w:pPr>
    <w:rPr>
      <w:sz w:val="18"/>
      <w:szCs w:val="18"/>
    </w:rPr>
  </w:style>
  <w:style w:type="paragraph" w:styleId="7">
    <w:name w:val="header"/>
    <w:basedOn w:val="1"/>
    <w:link w:val="12"/>
    <w:qFormat/>
    <w:uiPriority w:val="0"/>
    <w:pP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rFonts w:ascii="Calibri" w:hAnsi="Calibri"/>
      <w:kern w:val="2"/>
      <w:sz w:val="18"/>
      <w:szCs w:val="18"/>
    </w:rPr>
  </w:style>
  <w:style w:type="character" w:customStyle="1" w:styleId="13">
    <w:name w:val="页脚 字符"/>
    <w:basedOn w:val="11"/>
    <w:link w:val="6"/>
    <w:qFormat/>
    <w:uiPriority w:val="0"/>
    <w:rPr>
      <w:rFonts w:ascii="Calibri" w:hAnsi="Calibri"/>
      <w:kern w:val="2"/>
      <w:sz w:val="18"/>
      <w:szCs w:val="18"/>
    </w:rPr>
  </w:style>
  <w:style w:type="paragraph" w:styleId="14">
    <w:name w:val="List Paragraph"/>
    <w:basedOn w:val="1"/>
    <w:qFormat/>
    <w:uiPriority w:val="34"/>
    <w:pPr>
      <w:ind w:firstLine="420" w:firstLineChars="200"/>
    </w:pPr>
    <w:rPr>
      <w:szCs w:val="22"/>
    </w:rPr>
  </w:style>
  <w:style w:type="character" w:customStyle="1" w:styleId="15">
    <w:name w:val="标题 2 字符"/>
    <w:basedOn w:val="11"/>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33C58-F94A-498F-86C1-857EDF51D2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5062</Words>
  <Characters>5306</Characters>
  <Lines>41</Lines>
  <Paragraphs>11</Paragraphs>
  <TotalTime>34</TotalTime>
  <ScaleCrop>false</ScaleCrop>
  <LinksUpToDate>false</LinksUpToDate>
  <CharactersWithSpaces>5389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2025-09-12T06:24:00Z</dcterms:created>
  <dc:creator>Administrator</dc:creator>
  <cp:lastModifiedBy>刘汝彬</cp:lastModifiedBy>
  <cp:lastPrinted>2025-06-22T06:29:00Z</cp:lastPrinted>
  <dcterms:modified xsi:type="dcterms:W3CDTF">2025-11-04T12:28:38Z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eyJoZGlkIjoiYTBmYzI5NGI3YjFhNjkxZjAxYWZkYTcwMzZjOWU5ZTIiLCJ1c2VySWQiOiI0MTgwNTU5MjgifQ==</vt:lpwstr>
  </property>
  <property fmtid="{D5CDD505-2E9C-101B-9397-08002B2CF9AE}" pid="4" name="ICV">
    <vt:lpwstr>3111713735484B3892AF53941CC02305_13</vt:lpwstr>
  </property>
</Properties>
</file>