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信息化</w:t>
      </w: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s="方正小标宋简体"/>
          <w:sz w:val="36"/>
          <w:szCs w:val="36"/>
          <w:lang w:val="en-US" w:eastAsia="zh-CN"/>
        </w:rPr>
        <w:t>申购</w:t>
      </w:r>
      <w:r>
        <w:rPr>
          <w:rFonts w:hint="eastAsia" w:ascii="方正小标宋简体" w:hAnsi="方正小标宋简体" w:eastAsia="方正小标宋简体" w:cs="方正小标宋简体"/>
          <w:sz w:val="36"/>
          <w:szCs w:val="36"/>
        </w:rPr>
        <w:t>需求</w:t>
      </w:r>
      <w:r>
        <w:rPr>
          <w:rFonts w:hint="eastAsia" w:ascii="方正小标宋简体" w:hAnsi="方正小标宋简体" w:eastAsia="方正小标宋简体" w:cs="方正小标宋简体"/>
          <w:sz w:val="36"/>
          <w:szCs w:val="36"/>
          <w:lang w:val="en-US" w:eastAsia="zh-CN"/>
        </w:rPr>
        <w:t>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sz w:val="30"/>
                <w:szCs w:val="30"/>
              </w:rPr>
            </w:pPr>
            <w:r>
              <w:rPr>
                <w:rFonts w:ascii="仿宋_GB2312" w:hAnsi="仿宋_GB2312" w:eastAsia="仿宋_GB2312" w:cs="仿宋_GB2312"/>
                <w:b w:val="0"/>
                <w:sz w:val="30"/>
                <w:szCs w:val="30"/>
              </w:rPr>
              <w:t>项目名称</w:t>
            </w:r>
          </w:p>
        </w:tc>
        <w:tc>
          <w:tcPr>
            <w:tcW w:w="6628" w:type="dxa"/>
          </w:tcPr>
          <w:p>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数智生殖管理平台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894" w:type="dxa"/>
            <w:vAlign w:val="center"/>
          </w:tcPr>
          <w:p>
            <w:pPr>
              <w:pStyle w:val="2"/>
              <w:widowControl/>
              <w:shd w:val="clear" w:color="auto" w:fill="FFFFFF"/>
              <w:spacing w:before="0" w:beforeAutospacing="0" w:after="0" w:afterAutospacing="0" w:line="23" w:lineRule="atLeast"/>
              <w:jc w:val="center"/>
              <w:rPr>
                <w:rFonts w:hint="default"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用途及主要功能</w:t>
            </w:r>
          </w:p>
        </w:tc>
        <w:tc>
          <w:tcPr>
            <w:tcW w:w="6628"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b/>
                <w:bCs/>
                <w:i w:val="0"/>
                <w:iCs w:val="0"/>
                <w:sz w:val="21"/>
                <w:szCs w:val="21"/>
                <w:highlight w:val="none"/>
                <w:lang w:val="en-US" w:eastAsia="zh-CN"/>
              </w:rPr>
            </w:pPr>
            <w:r>
              <w:rPr>
                <w:rFonts w:hint="eastAsia" w:ascii="仿宋_GB2312" w:hAnsi="仿宋_GB2312" w:eastAsia="仿宋_GB2312" w:cs="仿宋_GB2312"/>
                <w:b/>
                <w:bCs/>
                <w:i w:val="0"/>
                <w:iCs w:val="0"/>
                <w:sz w:val="21"/>
                <w:szCs w:val="21"/>
                <w:highlight w:val="none"/>
                <w:lang w:val="en-US" w:eastAsia="zh-CN"/>
              </w:rPr>
              <w:t>一、建设背景与政策依据</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随着“健康中国2030”战略的深入推进及国家对优化生育政策的高度重视，提升生殖健康服务能力已成为国家卫生健康工作的核心议题之一。2025年8月，国家卫生健康委等17部门联合发布的《关于进一步完善和落实积极生育支持措施的指导意见》明确提出要“加强生殖健康服务”。紧接着，国家卫健委等部门印发的《生殖健康促进行动方案（2023-2025年）》进一步强调，需要加强生殖健康的宣传、教育和服务，全面提升服务能力以满足民众日益增长的需求 。这些政策文件共同构成了推动生殖医学服务模式创新与升级的顶层设计，为利用数字化、智能化手段赋能生殖健康服务提供了强有力的政策支持和方向指引。</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我国不孕不育率持续攀升，辅助生殖技术（ART）需求巨大。患者在求医过程中普遍面临流程繁琐、信息不对称、心理压力大、就医周期长等问题。传统的线下服务模式难以满足患者对连续性、个性化和便捷性的服务期望。同时，生殖专科联盟内的机构间协作、同质化培训和疑难病例讨论也亟需高效的数字化工具支持。因此，利用信息技术重塑服务流程，打造以患者为中心的服务体系，已成为行业发展的共识。</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b/>
                <w:bCs/>
                <w:i w:val="0"/>
                <w:iCs w:val="0"/>
                <w:sz w:val="21"/>
                <w:szCs w:val="21"/>
                <w:highlight w:val="none"/>
                <w:lang w:val="en-US" w:eastAsia="zh-CN"/>
              </w:rPr>
            </w:pPr>
            <w:r>
              <w:rPr>
                <w:rFonts w:hint="eastAsia" w:ascii="仿宋_GB2312" w:hAnsi="仿宋_GB2312" w:eastAsia="仿宋_GB2312" w:cs="仿宋_GB2312"/>
                <w:b/>
                <w:bCs/>
                <w:i w:val="0"/>
                <w:iCs w:val="0"/>
                <w:sz w:val="21"/>
                <w:szCs w:val="21"/>
                <w:highlight w:val="none"/>
                <w:lang w:val="en-US" w:eastAsia="zh-CN"/>
              </w:rPr>
              <w:t>二、建设目标</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b w:val="0"/>
                <w:bCs w:val="0"/>
                <w:i w:val="0"/>
                <w:iCs w:val="0"/>
                <w:sz w:val="21"/>
                <w:szCs w:val="21"/>
                <w:highlight w:val="none"/>
                <w:lang w:val="en-US" w:eastAsia="zh-CN"/>
              </w:rPr>
            </w:pPr>
            <w:r>
              <w:rPr>
                <w:rFonts w:hint="eastAsia" w:ascii="仿宋_GB2312" w:hAnsi="仿宋_GB2312" w:eastAsia="仿宋_GB2312" w:cs="仿宋_GB2312"/>
                <w:b w:val="0"/>
                <w:bCs w:val="0"/>
                <w:i w:val="0"/>
                <w:iCs w:val="0"/>
                <w:sz w:val="21"/>
                <w:szCs w:val="21"/>
                <w:highlight w:val="none"/>
                <w:lang w:val="en-US" w:eastAsia="zh-CN"/>
              </w:rPr>
              <w:t>构建一个以患者为中心、以数据为驱动、内外协同的数智生殖管理平台。通过流程再造、数据整合与智能应用，全面提升临床质量、运营效率和患者满意度，将我院生殖中心打造成为区域内智慧化服务的标杆。</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_GB2312" w:hAnsi="仿宋_GB2312" w:eastAsia="仿宋_GB2312" w:cs="仿宋_GB2312"/>
                <w:b/>
                <w:bCs/>
                <w:i w:val="0"/>
                <w:iCs w:val="0"/>
                <w:sz w:val="21"/>
                <w:szCs w:val="21"/>
                <w:highlight w:val="none"/>
                <w:lang w:val="en-US" w:eastAsia="zh-CN"/>
              </w:rPr>
            </w:pPr>
            <w:r>
              <w:rPr>
                <w:rFonts w:hint="eastAsia" w:ascii="仿宋_GB2312" w:hAnsi="仿宋_GB2312" w:eastAsia="仿宋_GB2312" w:cs="仿宋_GB2312"/>
                <w:b/>
                <w:bCs/>
                <w:i w:val="0"/>
                <w:iCs w:val="0"/>
                <w:sz w:val="21"/>
                <w:szCs w:val="21"/>
                <w:highlight w:val="none"/>
                <w:lang w:val="en-US" w:eastAsia="zh-CN"/>
              </w:rPr>
              <w:t>三、主要功能</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1.生殖医学筛查及数据管理平台</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仿宋_GB2312" w:hAnsi="仿宋_GB2312" w:eastAsia="仿宋_GB2312" w:cs="仿宋_GB2312"/>
                <w:i w:val="0"/>
                <w:iCs w:val="0"/>
                <w:sz w:val="21"/>
                <w:szCs w:val="21"/>
                <w:highlight w:val="none"/>
                <w:lang w:val="en-US" w:eastAsia="zh-CN"/>
              </w:rPr>
            </w:pPr>
            <w:r>
              <w:rPr>
                <w:rFonts w:hint="default" w:ascii="仿宋_GB2312" w:hAnsi="仿宋_GB2312" w:eastAsia="仿宋_GB2312" w:cs="仿宋_GB2312"/>
                <w:i w:val="0"/>
                <w:iCs w:val="0"/>
                <w:sz w:val="21"/>
                <w:szCs w:val="21"/>
                <w:highlight w:val="none"/>
                <w:lang w:val="en-US" w:eastAsia="zh-CN"/>
              </w:rPr>
              <w:t>该平台是实现“预防为主、关口前移”和精细化患者管理的基础，构建连接居民、基层医生与中心专家的桥梁。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2.生殖联盟专病专区服务平台</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仿宋_GB2312" w:hAnsi="仿宋_GB2312" w:eastAsia="仿宋_GB2312" w:cs="仿宋_GB2312"/>
                <w:i w:val="0"/>
                <w:iCs w:val="0"/>
                <w:sz w:val="21"/>
                <w:szCs w:val="21"/>
                <w:highlight w:val="none"/>
                <w:lang w:val="en-US" w:eastAsia="zh-CN"/>
              </w:rPr>
            </w:pPr>
            <w:r>
              <w:rPr>
                <w:rFonts w:hint="default" w:ascii="仿宋_GB2312" w:hAnsi="仿宋_GB2312" w:eastAsia="仿宋_GB2312" w:cs="仿宋_GB2312"/>
                <w:i w:val="0"/>
                <w:iCs w:val="0"/>
                <w:sz w:val="21"/>
                <w:szCs w:val="21"/>
                <w:highlight w:val="none"/>
                <w:lang w:val="en-US" w:eastAsia="zh-CN"/>
              </w:rPr>
              <w:t>该平台是医院官方患者服务平台的有机组成部分，是生殖中心对外的“数字门面”和一站式服务中心。</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3.生殖医学远程门诊教学及会诊服务平台</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仿宋_GB2312" w:hAnsi="仿宋_GB2312" w:eastAsia="仿宋_GB2312" w:cs="仿宋_GB2312"/>
                <w:i w:val="0"/>
                <w:iCs w:val="0"/>
                <w:sz w:val="21"/>
                <w:szCs w:val="21"/>
                <w:highlight w:val="none"/>
                <w:lang w:val="en-US" w:eastAsia="zh-CN"/>
              </w:rPr>
            </w:pPr>
            <w:r>
              <w:rPr>
                <w:rFonts w:hint="default" w:ascii="仿宋_GB2312" w:hAnsi="仿宋_GB2312" w:eastAsia="仿宋_GB2312" w:cs="仿宋_GB2312"/>
                <w:i w:val="0"/>
                <w:iCs w:val="0"/>
                <w:sz w:val="21"/>
                <w:szCs w:val="21"/>
                <w:highlight w:val="none"/>
                <w:lang w:val="en-US" w:eastAsia="zh-CN"/>
              </w:rPr>
              <w:t>该平台旨在利用音视频技术，打破时空限制，强化专科联盟的业务协同与能力建设。</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i w:val="0"/>
                <w:i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894" w:type="dxa"/>
            <w:vAlign w:val="center"/>
          </w:tcPr>
          <w:p>
            <w:pPr>
              <w:pStyle w:val="2"/>
              <w:widowControl/>
              <w:shd w:val="clear" w:color="auto" w:fill="FFFFFF"/>
              <w:spacing w:before="0" w:beforeAutospacing="0" w:after="0" w:afterAutospacing="0" w:line="23" w:lineRule="atLeast"/>
              <w:jc w:val="center"/>
              <w:rPr>
                <w:rFonts w:hint="default"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预期效果</w:t>
            </w:r>
          </w:p>
        </w:tc>
        <w:tc>
          <w:tcPr>
            <w:tcW w:w="6628"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平台成功上线并深度应用后，预计将在临床质量、运营效率、患者体验和学科发展等方面带来显著价值。</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1.临床质量提升： 通过早期筛查和连续性管理，提高不孕不育的早期干预率。整合的全周期数据结合未来引入的AI决策支持模型（如胚胎优选算法），有望进一步提升临床妊娠率和活产率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2.运营效率提升： 线上自助服务将大幅减少患者在院非诊疗时间，预计可缩短患者单次就诊时长30%以上。自动化流程和高效的医患沟通工具将减轻医护人员至少20%的事务性工作负担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 w:val="0"/>
                <w:iCs w:val="0"/>
                <w:sz w:val="21"/>
                <w:szCs w:val="21"/>
                <w:highlight w:val="none"/>
                <w:lang w:val="en-US" w:eastAsia="zh-CN"/>
              </w:rPr>
              <w:t>3.患者体验优化：一站式、人性化的服务将极大提升患者就医便捷度和舒适度，权威的健康教育和及时的关怀能有效缓解患者焦虑情绪，提升患者满意度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_GB2312" w:hAnsi="仿宋_GB2312" w:eastAsia="仿宋_GB2312" w:cs="仿宋_GB2312"/>
                <w:i w:val="0"/>
                <w:iCs w:val="0"/>
                <w:sz w:val="21"/>
                <w:szCs w:val="21"/>
                <w:highlight w:val="yellow"/>
                <w:lang w:val="en-US" w:eastAsia="zh-CN"/>
              </w:rPr>
            </w:pPr>
            <w:r>
              <w:rPr>
                <w:rFonts w:hint="eastAsia" w:ascii="仿宋_GB2312" w:hAnsi="仿宋_GB2312" w:eastAsia="仿宋_GB2312" w:cs="仿宋_GB2312"/>
                <w:i w:val="0"/>
                <w:iCs w:val="0"/>
                <w:sz w:val="21"/>
                <w:szCs w:val="21"/>
                <w:highlight w:val="none"/>
                <w:lang w:val="en-US" w:eastAsia="zh-CN"/>
              </w:rPr>
              <w:t>4.科研教学促进： 平台将形成高质量、标准化的生殖医学专病数据库，为临床研究提供“黄金数据”，缩短科研项目的数据准备周期。远程教学将扩大我院的学术影响力，带动专科联盟的共同发展。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1894" w:type="dxa"/>
            <w:vAlign w:val="center"/>
          </w:tcPr>
          <w:p>
            <w:pPr>
              <w:pStyle w:val="2"/>
              <w:widowControl/>
              <w:shd w:val="clear" w:color="auto" w:fill="FFFFFF"/>
              <w:spacing w:before="0" w:beforeAutospacing="0" w:after="0" w:afterAutospacing="0" w:line="23" w:lineRule="atLeast"/>
              <w:jc w:val="center"/>
              <w:rPr>
                <w:rFonts w:hint="eastAsia"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建设内容</w:t>
            </w:r>
          </w:p>
          <w:p>
            <w:pPr>
              <w:pStyle w:val="2"/>
              <w:widowControl/>
              <w:shd w:val="clear" w:color="auto" w:fill="FFFFFF"/>
              <w:spacing w:before="0" w:beforeAutospacing="0" w:after="0" w:afterAutospacing="0" w:line="23" w:lineRule="atLeast"/>
              <w:jc w:val="center"/>
              <w:rPr>
                <w:rFonts w:hint="eastAsia"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及</w:t>
            </w:r>
            <w:r>
              <w:rPr>
                <w:rFonts w:ascii="仿宋_GB2312" w:hAnsi="仿宋_GB2312" w:eastAsia="仿宋_GB2312" w:cs="仿宋_GB2312"/>
                <w:b w:val="0"/>
                <w:bCs/>
                <w:sz w:val="30"/>
                <w:szCs w:val="30"/>
                <w:shd w:val="clear" w:color="auto" w:fill="FFFFFF"/>
              </w:rPr>
              <w:t>技术</w:t>
            </w:r>
            <w:r>
              <w:rPr>
                <w:rFonts w:hint="eastAsia" w:ascii="仿宋_GB2312" w:hAnsi="仿宋_GB2312" w:eastAsia="仿宋_GB2312" w:cs="仿宋_GB2312"/>
                <w:b w:val="0"/>
                <w:bCs/>
                <w:sz w:val="30"/>
                <w:szCs w:val="30"/>
                <w:shd w:val="clear" w:color="auto" w:fill="FFFFFF"/>
                <w:lang w:val="en-US" w:eastAsia="zh-CN"/>
              </w:rPr>
              <w:t>参数要求</w:t>
            </w:r>
          </w:p>
        </w:tc>
        <w:tc>
          <w:tcPr>
            <w:tcW w:w="6628" w:type="dxa"/>
          </w:tcPr>
          <w:tbl>
            <w:tblPr>
              <w:tblStyle w:val="6"/>
              <w:tblW w:w="6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833"/>
              <w:gridCol w:w="1150"/>
              <w:gridCol w:w="3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auto"/>
                      <w:sz w:val="21"/>
                      <w:szCs w:val="21"/>
                      <w:u w:val="none"/>
                    </w:rPr>
                  </w:pPr>
                  <w:r>
                    <w:rPr>
                      <w:rFonts w:hint="eastAsia" w:ascii="华文仿宋" w:hAnsi="华文仿宋" w:eastAsia="华文仿宋" w:cs="华文仿宋"/>
                      <w:b/>
                      <w:bCs/>
                      <w:i w:val="0"/>
                      <w:iCs w:val="0"/>
                      <w:color w:val="auto"/>
                      <w:kern w:val="0"/>
                      <w:sz w:val="21"/>
                      <w:szCs w:val="21"/>
                      <w:u w:val="none"/>
                      <w:lang w:val="en-US" w:eastAsia="zh-CN" w:bidi="ar"/>
                    </w:rPr>
                    <w:t>系统名称</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auto"/>
                      <w:sz w:val="21"/>
                      <w:szCs w:val="21"/>
                      <w:u w:val="none"/>
                    </w:rPr>
                  </w:pPr>
                  <w:r>
                    <w:rPr>
                      <w:rFonts w:hint="eastAsia" w:ascii="华文仿宋" w:hAnsi="华文仿宋" w:eastAsia="华文仿宋" w:cs="华文仿宋"/>
                      <w:b/>
                      <w:bCs/>
                      <w:i w:val="0"/>
                      <w:iCs w:val="0"/>
                      <w:color w:val="auto"/>
                      <w:kern w:val="0"/>
                      <w:sz w:val="21"/>
                      <w:szCs w:val="21"/>
                      <w:u w:val="none"/>
                      <w:lang w:val="en-US" w:eastAsia="zh-CN" w:bidi="ar"/>
                    </w:rPr>
                    <w:t>模块</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auto"/>
                      <w:sz w:val="21"/>
                      <w:szCs w:val="21"/>
                      <w:u w:val="none"/>
                    </w:rPr>
                  </w:pPr>
                  <w:r>
                    <w:rPr>
                      <w:rFonts w:hint="eastAsia" w:ascii="华文仿宋" w:hAnsi="华文仿宋" w:eastAsia="华文仿宋" w:cs="华文仿宋"/>
                      <w:b/>
                      <w:bCs/>
                      <w:i w:val="0"/>
                      <w:iCs w:val="0"/>
                      <w:color w:val="auto"/>
                      <w:kern w:val="0"/>
                      <w:sz w:val="21"/>
                      <w:szCs w:val="21"/>
                      <w:u w:val="none"/>
                      <w:lang w:val="en-US" w:eastAsia="zh-CN" w:bidi="ar"/>
                    </w:rPr>
                    <w:t>功能</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b/>
                      <w:bCs/>
                      <w:i w:val="0"/>
                      <w:iCs w:val="0"/>
                      <w:color w:val="auto"/>
                      <w:sz w:val="21"/>
                      <w:szCs w:val="21"/>
                      <w:u w:val="none"/>
                    </w:rPr>
                  </w:pPr>
                  <w:r>
                    <w:rPr>
                      <w:rFonts w:hint="eastAsia" w:ascii="华文仿宋" w:hAnsi="华文仿宋" w:eastAsia="华文仿宋" w:cs="华文仿宋"/>
                      <w:b/>
                      <w:bCs/>
                      <w:i w:val="0"/>
                      <w:iCs w:val="0"/>
                      <w:color w:val="auto"/>
                      <w:kern w:val="0"/>
                      <w:sz w:val="21"/>
                      <w:szCs w:val="21"/>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1.生殖医学筛查及数据管理平台</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用户端</w:t>
                  </w: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生殖科普</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可以查询生殖科普文章，支持文章可分享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筛查二维码入口</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支持通过二维码扫码的方式进入筛查页面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筛查量表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根据管理后台配置的题目，进行筛查量表填写，并给出筛查建议结果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筛查记录</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支持用户查看生殖筛查记录结果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用户建档</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用户可以进行注册，建档，填写个人及家庭基本信息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留言反馈</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针对具有生殖服务需求的用户，可以进行留言，给到管理端查询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医护端（小程序）</w:t>
                  </w: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用户检索</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可以针对所管理的用户进行检索，查询用户基本信息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量表筛查</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可以查询用户填写的量表详情，并针对填写内容给出指导性提示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用户标签</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可以针对用户进行手工打标签，方便后续用户分组筛查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数据统计</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针对医护的工作量，筛查情况进行统计图表展示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管理端</w:t>
                  </w: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用户列表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支持查看患者列表内容，这次查询用户量表填写情况，支持用户列表导出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量表配置</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支持可视化配置量表问题、选项、题目类型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筛查条件配置</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支持配置化实现目标用户的分组筛查条件配置，实现自动筛查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分组管理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支持针对筛查结果进行分组管理，绑定不同的筛查条件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机构管理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支持针对不同子机构的创建及维护，统计机构筛查工作量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医生管理</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支持维护筛查医生列表，支持医生工作量统计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二维码生成</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支持针对不同筛查组，生成专属化二维码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数据统计</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支持针对筛查结果进行数据图表展示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2.生殖联盟专病专区服务平台</w:t>
                  </w:r>
                </w:p>
              </w:tc>
              <w:tc>
                <w:tcPr>
                  <w:tcW w:w="649" w:type="pct"/>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生殖定制首页</w:t>
                  </w:r>
                </w:p>
              </w:tc>
              <w:tc>
                <w:tcPr>
                  <w:tcW w:w="897" w:type="pct"/>
                  <w:tcBorders>
                    <w:top w:val="nil"/>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专区切换</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支持在互联网医院小程序内设置生殖专区版面，支持用户自行切换，支持根据人群特征进行切换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生殖专区布局</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支持根据生殖中心特点定制化设置生殖专区布局，支持头图配置化，支持颜色、字体、图标定制化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专属号源</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提供生殖号源挂号快速入口，实现快速挂号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团队展示</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支持生殖中心团队介绍，支持科室团队详情介绍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服务介绍</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支持生殖中心医疗服务内容介绍，支持图文详情展示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在线咨询</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支持生殖专区特色在线咨询，支持生殖相关问题解答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restar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健康科普</w:t>
                  </w: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文章展示</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支持生殖相关科普文章展示，支持列表和分类功能，支持搜索功能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视频展示</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支持生殖科普视频展示，支持用户在小程序端进行视频点播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消息推送</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支持根据人群特征，实现专属人群订阅，实现科普内容通过公众号消息或者小程序消息进行推送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restar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自助开单</w:t>
                  </w: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检验开单</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支持生殖相关检验自助开单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检查开单</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支持生殖相关检查自助开单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1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3.生殖医学远程门诊教学及会诊服务平台</w:t>
                  </w:r>
                </w:p>
              </w:tc>
              <w:tc>
                <w:tcPr>
                  <w:tcW w:w="649"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远程门诊教学及会诊中心管理</w:t>
                  </w: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平台管理</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基于WEB的应用，用户不需要预先下载和安装客户端程序，简化系统的部署实施和维护工作。具体的功能如下： 提供平台统一门户,集成整合各功能系统形成统一业务入口，提供统一用户注册与登录入口；（1）系统具备综合服务门户功能，可根据远程医疗业务需要，定制门户网站页面；支持对入网医院、专家资源、教育资源、特色专科、业务动态、新闻资讯等信息的查询和浏览。（2）支持对平台各类用户的管理，包括医院管理员、专家或医生、卫生管理机构等各类用户账号的管理。（3）支持对医院医生账号的管理，医生账号由医院管理员账号分配，支持医生、专家两种角色的分配，支持两种角色的相互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专家管理</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家资源库管理:依托入网专家医院资源，建立远程会诊医学专家资源库及查询系统，为基层医院提供专家会诊服务。专家库应能按所属医院、科室类别查询，详列专家基本信息及特长，并附有近期照片，方便基层医院和患者会诊时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会诊管理</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功能包括：（1）如果会诊申请没有指定到专家，会对已申请完毕并通过的申请根据医院医生排班情况安排专家，并支持退回。（2）会诊申请指定专家的会诊，由指定的专家进行会诊确认操作；（3）患者上传病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音视频管理</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1、视频：（1）视频设置，支持亮度、对比度、饱和度、锐化的参数设置，可以设置视频的分辨率、帧率、码率；（2）如果有多路视频、多个显示设备，支持把指定的某一路视频投到指定的显示设备上显示。（3）支持基于MPEG-4的编解码技术使系统能在各种带宽环境中高速传输视频数据，支持同时显示多路高清视频并能轮巡查看所有会者视频；</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2、音频方面，支持G.711、G.723、G.729多种语音编解码技术和智能码流平滑技术，保证了语音数据的稳定性和高保真性</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3、会诊录制和回放功能：（1）录制质量和帧率支持自定义设置；（2）严格的录制权限管理，有权限的终端才可以进行录制；（3）支持客户端录制；（4）录制的多路视频，提供播放工具，可以还原会诊过程的播放；（5）会诊人员只能查看自己参与的会诊的录制视频；</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4、桌面与应用共享功能：（1）支持应用窗口共享；（可选择桌面共享、应用窗口共享）；（2）并可通过灵活的权限切换机制实现远程控制桌面等功能；</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5、提供多种布局方式：支持多种分屏显示（主分屏、画中画、二分屏、四分屏、L型、反L型、环形、单屏）以及视频内容和数据内容的分屏显示；</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6、系统提供文字交流功能。所有与会人员都可以利用公共文字交流平台进行文字交流，也可发起与某个与会人员之间的点对点文字沟通，沟通内容包括：文字、图片、视频、文件。在会议过程中，支持公共聊天和私聊两种模式。</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7、会诊过程中，可以设定某一个画面作为超声设备视频源，支持远程会诊专家帮助下级医院医生进行留图的操作，留的切面图在会诊界面上显示；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专家会诊报告</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Style w:val="12"/>
                      <w:rFonts w:hint="eastAsia" w:ascii="华文仿宋" w:hAnsi="华文仿宋" w:eastAsia="华文仿宋" w:cs="华文仿宋"/>
                      <w:sz w:val="21"/>
                      <w:szCs w:val="21"/>
                      <w:lang w:val="en-US" w:eastAsia="zh-CN" w:bidi="ar"/>
                    </w:rPr>
                    <w:t>会诊报告模板可以自定义设置；具有报告浏览及打印预览功能，如果报告已经打印，在报告上有“已打印”标识；具有操作日志功能，书写报告、打印报告、修改报告、提交报告等操作的日志记录；</w:t>
                  </w:r>
                  <w:r>
                    <w:rPr>
                      <w:rStyle w:val="13"/>
                      <w:rFonts w:hint="eastAsia" w:ascii="华文仿宋" w:hAnsi="华文仿宋" w:eastAsia="华文仿宋" w:cs="华文仿宋"/>
                      <w:sz w:val="21"/>
                      <w:szCs w:val="21"/>
                      <w:lang w:val="en-US" w:eastAsia="zh-CN" w:bidi="ar"/>
                    </w:rPr>
                    <w:t></w:t>
                  </w:r>
                  <w:r>
                    <w:rPr>
                      <w:rStyle w:val="12"/>
                      <w:rFonts w:hint="eastAsia" w:ascii="华文仿宋" w:hAnsi="华文仿宋" w:eastAsia="华文仿宋" w:cs="华文仿宋"/>
                      <w:sz w:val="21"/>
                      <w:szCs w:val="21"/>
                      <w:lang w:val="en-US" w:eastAsia="zh-CN" w:bidi="ar"/>
                    </w:rPr>
                    <w:t xml:space="preserve"> 具有报告召回功能，专家医院可以召回会诊报告，完善修改后在提交；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897" w:type="pc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统计分析</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统计会诊数量、已完成会诊数量趋势图、会诊医生申请排行榜、会诊专家申请排行榜等。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医院接入端软件</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(一个会诊点为一套，采购数量依据医院实际需要接入的数量来确定)</w:t>
                  </w:r>
                </w:p>
              </w:tc>
              <w:tc>
                <w:tcPr>
                  <w:tcW w:w="897"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远程会诊客户端</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上传病人病程资料，包含检验、电子病历等相关检查、专家医院分配专家、专家端初步报告、审核报告、基层获取并打印报告的业务流程；支持新增申请、会诊安排、视音频交流、诊断报告的预约式影像诊断流程；支持专家医院医生实时显示在线状态、基层医生发起即时申请、专家即时应答的即时诊断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医院接入端配套硬件</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(一个会诊点为一套，采购数量依据医院实际需要接入的数量来确定)</w:t>
                  </w:r>
                </w:p>
              </w:tc>
              <w:tc>
                <w:tcPr>
                  <w:tcW w:w="8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会诊一体终端</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i5主频:3.6GHz 、内存:4G 硬盘:500G  19寸显示器、 鼠标、键盘；集成高清采集卡，高清采集卡支持HDMI、DVI、VGA等接口；分辨率最大支持1080P。</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可接入超声设备影像，发到远程超声会诊子系统，实现专家和超声诊室实时指导。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华文仿宋" w:hAnsi="华文仿宋" w:eastAsia="华文仿宋" w:cs="华文仿宋"/>
                      <w:i w:val="0"/>
                      <w:iCs w:val="0"/>
                      <w:color w:val="000000"/>
                      <w:sz w:val="21"/>
                      <w:szCs w:val="21"/>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远程会诊移动端</w:t>
                  </w:r>
                </w:p>
              </w:tc>
              <w:tc>
                <w:tcPr>
                  <w:tcW w:w="8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移动端</w:t>
                  </w:r>
                </w:p>
              </w:tc>
              <w:tc>
                <w:tcPr>
                  <w:tcW w:w="23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专家可在移动端进行接诊等远程操作（仅支持安卓）</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894" w:type="dxa"/>
            <w:vAlign w:val="center"/>
          </w:tcPr>
          <w:p>
            <w:pPr>
              <w:pStyle w:val="2"/>
              <w:widowControl/>
              <w:shd w:val="clear" w:color="auto" w:fill="FFFFFF"/>
              <w:spacing w:before="0" w:beforeAutospacing="0" w:after="0" w:afterAutospacing="0" w:line="23" w:lineRule="atLeast"/>
              <w:jc w:val="center"/>
              <w:rPr>
                <w:rFonts w:hint="default"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与其他系统的集成要求</w:t>
            </w:r>
          </w:p>
        </w:tc>
        <w:tc>
          <w:tcPr>
            <w:tcW w:w="6628"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r>
              <w:rPr>
                <w:rFonts w:hint="default" w:ascii="仿宋_GB2312" w:hAnsi="仿宋_GB2312" w:eastAsia="仿宋_GB2312" w:cs="仿宋_GB2312"/>
                <w:sz w:val="21"/>
                <w:szCs w:val="21"/>
                <w:highlight w:val="none"/>
                <w:lang w:val="en-US" w:eastAsia="zh-CN"/>
              </w:rPr>
              <w:t>对接系统（不少于以下）：HIS/EMR、集成平台/ESB等。</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hint="default" w:ascii="仿宋_GB2312" w:hAnsi="仿宋_GB2312" w:eastAsia="仿宋_GB2312" w:cs="仿宋_GB2312"/>
                <w:sz w:val="21"/>
                <w:szCs w:val="21"/>
                <w:highlight w:val="none"/>
                <w:lang w:val="en-US" w:eastAsia="zh-CN"/>
              </w:rPr>
              <w:t>接口方式：HL7 v2.x、FHIR R4（选配）、REST/JSON、WebService、MQ、文件/ETL；提供接口字典与映射、重试与补偿机制、幂等控制与顺序一致性。</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3.</w:t>
            </w:r>
            <w:r>
              <w:rPr>
                <w:rFonts w:hint="default" w:ascii="仿宋_GB2312" w:hAnsi="仿宋_GB2312" w:eastAsia="仿宋_GB2312" w:cs="仿宋_GB2312"/>
                <w:sz w:val="21"/>
                <w:szCs w:val="21"/>
                <w:highlight w:val="none"/>
                <w:lang w:val="en-US" w:eastAsia="zh-CN"/>
              </w:rPr>
              <w:t>接口费用：中标方负责协调落地并承担自身</w:t>
            </w:r>
            <w:r>
              <w:rPr>
                <w:rFonts w:hint="eastAsia" w:ascii="仿宋_GB2312" w:hAnsi="仿宋_GB2312" w:eastAsia="仿宋_GB2312" w:cs="仿宋_GB2312"/>
                <w:sz w:val="21"/>
                <w:szCs w:val="21"/>
                <w:highlight w:val="none"/>
                <w:lang w:val="en-US" w:eastAsia="zh-CN"/>
              </w:rPr>
              <w:t>和第三方厂商的</w:t>
            </w:r>
            <w:r>
              <w:rPr>
                <w:rFonts w:hint="default" w:ascii="仿宋_GB2312" w:hAnsi="仿宋_GB2312" w:eastAsia="仿宋_GB2312" w:cs="仿宋_GB2312"/>
                <w:sz w:val="21"/>
                <w:szCs w:val="21"/>
                <w:highlight w:val="none"/>
                <w:lang w:val="en-US" w:eastAsia="zh-CN"/>
              </w:rPr>
              <w:t>接口改造成本</w:t>
            </w:r>
            <w:bookmarkStart w:id="0" w:name="_GoBack"/>
            <w:bookmarkEnd w:id="0"/>
            <w:r>
              <w:rPr>
                <w:rFonts w:hint="default" w:ascii="仿宋_GB2312" w:hAnsi="仿宋_GB2312" w:eastAsia="仿宋_GB2312" w:cs="仿宋_GB231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894" w:type="dxa"/>
            <w:vAlign w:val="center"/>
          </w:tcPr>
          <w:p>
            <w:pPr>
              <w:pStyle w:val="2"/>
              <w:widowControl/>
              <w:shd w:val="clear" w:color="auto" w:fill="FFFFFF"/>
              <w:spacing w:before="0" w:beforeAutospacing="0" w:after="0" w:afterAutospacing="0" w:line="23" w:lineRule="atLeast"/>
              <w:jc w:val="center"/>
              <w:rPr>
                <w:rFonts w:hint="default"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安全性与权限控制要求</w:t>
            </w:r>
          </w:p>
        </w:tc>
        <w:tc>
          <w:tcPr>
            <w:tcW w:w="6628" w:type="dxa"/>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1、系统需满足《网络安全等级保护条例》相关要求。
</w:t>
            </w: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2、配合医院每年的信息安全等级保护测评、公安局及卫健委年度安全检查、公安部护网行动，对上级和检测报告中指出涉及急诊系统存在的风险内容立即进行整改。
</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lang w:val="en-US" w:eastAsia="zh-CN"/>
              </w:rPr>
              <w:t>3、承建单位需签订患者隐私数据保护协议。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894" w:type="dxa"/>
            <w:vAlign w:val="center"/>
          </w:tcPr>
          <w:p>
            <w:pPr>
              <w:pStyle w:val="2"/>
              <w:widowControl/>
              <w:shd w:val="clear" w:color="auto" w:fill="FFFFFF"/>
              <w:spacing w:before="0" w:beforeAutospacing="0" w:after="0" w:afterAutospacing="0" w:line="23" w:lineRule="atLeast"/>
              <w:jc w:val="center"/>
              <w:rPr>
                <w:rFonts w:hint="default" w:ascii="仿宋_GB2312" w:hAnsi="仿宋_GB2312" w:eastAsia="仿宋_GB2312" w:cs="仿宋_GB2312"/>
                <w:b w:val="0"/>
                <w:bCs/>
                <w:sz w:val="30"/>
                <w:szCs w:val="30"/>
                <w:shd w:val="clear" w:color="auto" w:fill="FFFFFF"/>
                <w:lang w:val="en-US" w:eastAsia="zh-CN"/>
              </w:rPr>
            </w:pPr>
            <w:r>
              <w:rPr>
                <w:rFonts w:hint="eastAsia" w:ascii="仿宋_GB2312" w:hAnsi="仿宋_GB2312" w:eastAsia="仿宋_GB2312" w:cs="仿宋_GB2312"/>
                <w:b w:val="0"/>
                <w:bCs/>
                <w:sz w:val="30"/>
                <w:szCs w:val="30"/>
                <w:shd w:val="clear" w:color="auto" w:fill="FFFFFF"/>
                <w:lang w:val="en-US" w:eastAsia="zh-CN"/>
              </w:rPr>
              <w:t>实施及售后服务要求</w:t>
            </w:r>
          </w:p>
        </w:tc>
        <w:tc>
          <w:tcPr>
            <w:tcW w:w="6628" w:type="dxa"/>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仿宋_GB2312" w:hAnsi="仿宋_GB2312" w:eastAsia="仿宋_GB2312" w:cs="仿宋_GB2312"/>
                <w:sz w:val="21"/>
                <w:szCs w:val="21"/>
                <w:highlight w:val="none"/>
                <w:lang w:val="en-US" w:eastAsia="zh-CN"/>
              </w:rPr>
            </w:pPr>
          </w:p>
          <w:p>
            <w:pPr>
              <w:jc w:val="both"/>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一、</w:t>
            </w:r>
            <w:r>
              <w:rPr>
                <w:rFonts w:hint="default" w:ascii="仿宋_GB2312" w:hAnsi="仿宋_GB2312" w:eastAsia="仿宋_GB2312" w:cs="仿宋_GB2312"/>
                <w:b/>
                <w:bCs/>
                <w:sz w:val="21"/>
                <w:szCs w:val="21"/>
                <w:lang w:val="en-US" w:eastAsia="zh-CN"/>
              </w:rPr>
              <w:t>项目实施要求</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根据项目工期的实际情况以及项目进度的要求，本项目在实施的过程中需要安排具有同类项目实施经验、系统业务、熟悉智慧服务系统建设的人员参与，以降低项目的实施风险，保证项目顺利如期完成。</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1、实施团队-项目经理需要具备高级信息系统项目管理师、PMP资格证书，需提供相应的证书证明，并提供其在本单位缴纳的社保证明材料（提供供应商为其购买的社保证明复印件）。</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实施团队-项目人员需具有高级系统架构师、中级软件设计师、中级系统集成项目管理工程师等资格证书，需提供相应的证书证明，并提供其在本单位缴纳的社保证明材料（提供供应商为其购买的社保证明复印件）。</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正式开始现场实施前开发组应检查所有必要的准备工作是否已经完成。联调完成并确认可在系统正常运行后，开始相关业务人员的培训；在培训开始之前需要由双方协商形成培训计划，明确培训环境、条件及方式、参加人员、课程课时等详细内容，由双方负责人邮件确认后生效，并分别开始着手准备，在既定时间内完成。</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培训顺利完成后将开始在试点部门试用，试运行阶段的主要工作是根据设计的功能模块，检查未完成、有错误及需改进和调整的模块清单，以便在正式上线前继续优化完善。</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系统上线运行稳定后，供应商提供持续的升级和维护服务；并将按照实际情况协同院方做好维护工作。在此期间任何一方提出的新功能需求均需在本方案的基础上延伸，并依照本方案所载程序分步骤进行。</w:t>
            </w:r>
          </w:p>
          <w:p>
            <w:pPr>
              <w:jc w:val="both"/>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二、</w:t>
            </w:r>
            <w:r>
              <w:rPr>
                <w:rFonts w:hint="default" w:ascii="仿宋_GB2312" w:hAnsi="仿宋_GB2312" w:eastAsia="仿宋_GB2312" w:cs="仿宋_GB2312"/>
                <w:b/>
                <w:bCs/>
                <w:sz w:val="21"/>
                <w:szCs w:val="21"/>
                <w:lang w:val="en-US" w:eastAsia="zh-CN"/>
              </w:rPr>
              <w:t>售后维护服务及要求</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维护期：软件部分质保1年（项目最终验收合格之日起计）。维护期内，供应商提供本项目免费售后服务、技术支持和数据服务，因政策性的改变需要增加功能的，且改造工作量在原系统功能的开发工作量10%以内的，须提供免费软件升级服务。</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2、服务方式及对象：在维护期内，应提供不少于3人的信息维护小组提供7×24小时响应服务，实时解决常见问题，系统宕机后4小时内恢复正常。</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具体服务内容如下：</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1、实时技术支持。在维护期内，应提供7×24小时技术支持服务，在接到技术支持要求时，应为系统使用人员提供如何使用系统的咨询。</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2、故障响应。在维护期内，供应商在接到院方的故障报修要求时，1小时内做出明确响应和安排，在2小时内为院方提供维修服务，并做出故障诊断报告。</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3、热线服务。在维护期内，供应商应提供热线电话、传真、微信等途径，随时接受院方提出的各种技术问题，并在24小时内提出解决方案。</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4、定期跟踪。在维护期内，供应商应每年不少于2次对系统进行巡检服务，及时发现和排除潜在问题或故障隐患，保证系统的稳定运行。</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5、系统升级。在维护期内，供应商应提供软件版本升级服务，解决系统BUG。在维护期内，采纳用户建议以及业务需求调整所提出的功能开发等，工作量在10%范围内的应免费提供，超出的工作量双方友好协商。</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6、系统安装调试及技术培训。供应商协助进行安装前的准备工作。系统安装后，供应商安排工程师为用户至少提供为期一周的现场培训。免费维保期内按院方需求组织现场培训，培训要求如下：</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7、院方组织本项目的培训工作，供应商应安排经验丰富的培训人员，为系统使用人员提供系统配置、开发、安装、使用和维护等方面的培训。</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8、供应商应提供详细的培训方案和培训承诺。培训方案主要包括培训组织机构、培训内容、培训大纲、培训计划、培训对象等，并按照上述要求进行详细说明。</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9、供应商负责提供培训所需计划和资料、培训教材格式包括视频教材、用户操作手册、培训PPT，培训所使用的语言和教材必须是中文。</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10、培训的时间、内容、人员等具体内容在执行过程中由双方友好协商决定，每个系统培训期次不少于2次。</w:t>
            </w:r>
          </w:p>
          <w:p>
            <w:pPr>
              <w:ind w:firstLine="420" w:firstLineChars="20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11、维护期结束后，如院方要求继续签订维护合同的，系统技术维护费（每年）不超过合同金额的8%，最终由双方友好协商，确定本项目的后续维护方式及费用。</w:t>
            </w:r>
          </w:p>
          <w:p>
            <w:pPr>
              <w:jc w:val="left"/>
              <w:rPr>
                <w:rFonts w:hint="default" w:ascii="仿宋_GB2312" w:hAnsi="仿宋_GB2312" w:eastAsia="仿宋_GB2312" w:cs="仿宋_GB2312"/>
                <w:sz w:val="21"/>
                <w:szCs w:val="21"/>
                <w:highlight w:val="yellow"/>
                <w:lang w:val="en-US" w:eastAsia="zh-CN"/>
              </w:rPr>
            </w:pP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embedRegular r:id="rId1" w:fontKey="{830A6862-9403-43C5-98D3-1E421BE64595}"/>
  </w:font>
  <w:font w:name="仿宋_GB2312">
    <w:panose1 w:val="02010609030101010101"/>
    <w:charset w:val="86"/>
    <w:family w:val="auto"/>
    <w:pitch w:val="default"/>
    <w:sig w:usb0="00000001" w:usb1="080E0000" w:usb2="00000000" w:usb3="00000000" w:csb0="00040000" w:csb1="00000000"/>
    <w:embedRegular r:id="rId2" w:fontKey="{F8A38B50-55FD-4AB7-A663-26282A6B5EE9}"/>
  </w:font>
  <w:font w:name="华文仿宋">
    <w:panose1 w:val="02010600040101010101"/>
    <w:charset w:val="86"/>
    <w:family w:val="auto"/>
    <w:pitch w:val="default"/>
    <w:sig w:usb0="00000287" w:usb1="080F0000" w:usb2="00000000" w:usb3="00000000" w:csb0="0004009F" w:csb1="DFD70000"/>
    <w:embedRegular r:id="rId3" w:fontKey="{8053BD6B-BD5C-43F2-A97B-4CE0BF2A55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04"/>
    <w:rsid w:val="00663F69"/>
    <w:rsid w:val="00783CAB"/>
    <w:rsid w:val="007F3D04"/>
    <w:rsid w:val="00CD1532"/>
    <w:rsid w:val="00F3008E"/>
    <w:rsid w:val="0D187F42"/>
    <w:rsid w:val="192D5062"/>
    <w:rsid w:val="2DEC1156"/>
    <w:rsid w:val="308455A5"/>
    <w:rsid w:val="360867E3"/>
    <w:rsid w:val="388217B5"/>
    <w:rsid w:val="49470DB6"/>
    <w:rsid w:val="4AF40974"/>
    <w:rsid w:val="4DD802BF"/>
    <w:rsid w:val="4E1C1427"/>
    <w:rsid w:val="4F7FBFFC"/>
    <w:rsid w:val="50653C2E"/>
    <w:rsid w:val="58F130E8"/>
    <w:rsid w:val="59FE261C"/>
    <w:rsid w:val="678F387A"/>
    <w:rsid w:val="69EA5DD9"/>
    <w:rsid w:val="6B705AE9"/>
    <w:rsid w:val="6CBC5C65"/>
    <w:rsid w:val="6DE03A44"/>
    <w:rsid w:val="790A575E"/>
    <w:rsid w:val="7BFF453B"/>
    <w:rsid w:val="DDEF35FE"/>
    <w:rsid w:val="F7B3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spacing w:line="240" w:lineRule="auto"/>
      <w:jc w:val="left"/>
    </w:pPr>
    <w:rPr>
      <w:sz w:val="18"/>
      <w:szCs w:val="18"/>
    </w:rPr>
  </w:style>
  <w:style w:type="paragraph" w:styleId="5">
    <w:name w:val="header"/>
    <w:basedOn w:val="1"/>
    <w:link w:val="10"/>
    <w:qFormat/>
    <w:uiPriority w:val="0"/>
    <w:pPr>
      <w:tabs>
        <w:tab w:val="center" w:pos="4153"/>
        <w:tab w:val="right" w:pos="8306"/>
      </w:tabs>
      <w:snapToGrid w:val="0"/>
      <w:spacing w:line="240" w:lineRule="auto"/>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font61"/>
    <w:basedOn w:val="8"/>
    <w:qFormat/>
    <w:uiPriority w:val="0"/>
    <w:rPr>
      <w:rFonts w:hint="default" w:ascii="微软雅黑" w:hAnsi="微软雅黑" w:eastAsia="微软雅黑" w:cs="微软雅黑"/>
      <w:color w:val="000000"/>
      <w:sz w:val="24"/>
      <w:szCs w:val="24"/>
      <w:u w:val="none"/>
    </w:rPr>
  </w:style>
  <w:style w:type="character" w:customStyle="1" w:styleId="13">
    <w:name w:val="font71"/>
    <w:basedOn w:val="8"/>
    <w:qFormat/>
    <w:uiPriority w:val="0"/>
    <w:rPr>
      <w:rFonts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5943</Words>
  <Characters>6113</Characters>
  <Lines>1</Lines>
  <Paragraphs>1</Paragraphs>
  <TotalTime>37</TotalTime>
  <ScaleCrop>false</ScaleCrop>
  <LinksUpToDate>false</LinksUpToDate>
  <CharactersWithSpaces>6145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2025-02-18T16:48:00Z</dcterms:created>
  <dc:creator>Administrator</dc:creator>
  <cp:lastModifiedBy>刘汝彬</cp:lastModifiedBy>
  <cp:lastPrinted>2025-06-22T14:29:00Z</cp:lastPrinted>
  <dcterms:modified xsi:type="dcterms:W3CDTF">2025-11-04T12:45:26Z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eyJoZGlkIjoiN2IzN2FhYTQ5N2U5ZjAwODc2YzAxY2ZkMWIzNzg4ZjMiLCJ1c2VySWQiOiI0MDY3MzYwMzAifQ==</vt:lpwstr>
  </property>
  <property fmtid="{D5CDD505-2E9C-101B-9397-08002B2CF9AE}" pid="4" name="ICV">
    <vt:lpwstr>C5905A939E13A0635241D5680C508489_43</vt:lpwstr>
  </property>
</Properties>
</file>