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DCEF">
      <w:pPr>
        <w:rPr>
          <w:rFonts w:hint="eastAsia"/>
          <w:lang w:eastAsia="zh-CN"/>
        </w:rPr>
      </w:pPr>
    </w:p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：</w:t>
      </w:r>
    </w:p>
    <w:tbl>
      <w:tblPr>
        <w:tblStyle w:val="5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南宁市第二人民医院2025年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公务车采购项目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项目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货物类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61598B90">
      <w:pPr>
        <w:rPr>
          <w:rFonts w:hint="default" w:eastAsiaTheme="minorEastAsia"/>
          <w:lang w:val="en-US" w:eastAsia="zh-CN"/>
        </w:rPr>
      </w:pPr>
    </w:p>
    <w:p w14:paraId="2361CD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E2B85"/>
    <w:rsid w:val="206E2B85"/>
    <w:rsid w:val="7D0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2025-10-17T02:57:00Z</dcterms:created>
  <dc:creator>邓荣爱</dc:creator>
  <cp:lastModifiedBy>邓荣爱</cp:lastModifiedBy>
  <dcterms:modified xsi:type="dcterms:W3CDTF">2025-10-17T03:01:59Z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CA91BD19760243D2A32A1275691B6E4B_11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