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需求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说明</w:t>
      </w:r>
    </w:p>
    <w:tbl>
      <w:tblPr>
        <w:tblStyle w:val="7"/>
        <w:tblW w:w="9826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项目名称</w:t>
            </w:r>
          </w:p>
        </w:tc>
        <w:tc>
          <w:tcPr>
            <w:tcW w:w="747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门诊结算挂账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用途及主要功能</w:t>
            </w:r>
          </w:p>
        </w:tc>
        <w:tc>
          <w:tcPr>
            <w:tcW w:w="7477" w:type="dxa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提升患者就医体验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：为患者提供灵活的结算方式，尤其针对临时资金不足、特殊医保报销流程未完成等情况的患者，避免因即时结算困难影响就医进程，减少患者在结算环节的等待和繁琐操作，增强患者对医院服务的满意度和信任度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规范医院门诊结算管理：通过系统对门诊结算挂账业务进行统一管理，明确挂账的申请、审批、结算等流程，确保挂账行为的合规性和可追溯性，避免人为操作的随意性，降低管理风险。​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提高医院资金管理效率：实时跟踪挂账资金的结算情况，及时掌握资金回笼进度，便于医院进行资金统筹规划，减少坏账、死账的发生，保障医院的经济利益。​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优化医疗服务流程：将挂账功能与医院 HIS 系统中的其他模块（如挂号、诊疗、收费等）无缝衔接，实现信息共享和流程自动化，提高门诊整体服务效率，减轻医护人员和结算人员的工作负担。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建设内容</w:t>
            </w:r>
          </w:p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及功能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要求</w:t>
            </w:r>
          </w:p>
        </w:tc>
        <w:tc>
          <w:tcPr>
            <w:tcW w:w="7477" w:type="dxa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支持三无患者登记，先分配分诊号就诊，后续再绑定病人信息。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对于需走绿色通道患者，在挂号时做绿色通道就诊标识。支持绿通标识在挂号，护士分诊，医生就诊时，共享同步标识。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支持医生在为绿通患者开具并确认医嘱费用挂账后，将病人药品处方信息、检验申请单、各检查治疗申请单对应传到药房系统、检验系统、对应检查系统，治疗室系统等，实现病人先治疗，后补缴费用功能。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支持未取药药品处方、未做检验、检查、治疗等申请单，医生可取消挂账并同步作废处方、检验、检查、治疗等申请单。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支持已取药药品处方、已做检验、检查、治疗等申请单，拦截医生取消挂账或作废处方、检验、检查、治疗等申请单，并作出相应提示。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支持绿通病人挂账就诊结束，系统打印患者就诊指引单。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支持在门诊收费可查询患者挂账费用。可作废挂账，正式结算挂账费用。且在挂账费用标识挂账状态（挂账、作废）和结算状态（未结算、结算）。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支持在门诊收费处理挂账费用，作废挂账费用，正式结算。对于已作废的挂账费用，24小时内未及时正式结算的费用，支持预存处方费用记账功能，带患者正式结算时，直接调用预存处方费用进行结算。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绿色通道挂账费用跟随住院档案，在患者办理入院登记时，住院系统提示患者门诊挂账标识及金额，以提醒患者或患者家属及时办理门诊挂账结算。且在患者入院后，在护士站病人信息栏，住院医生站病人信息栏均标识患者的门诊挂账标识及金额。当挂账正式结算后，在住院系统病人管理界面，护士站、住院医生站病人信息栏自动同步清除挂账标识及金额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支持统计报表功能，门诊医生站能查询当前登录医生所开具绿色通道患者挂账情况表。门诊收费能查询绿色通道患者挂账结算情况表，能够打印和导出。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实施及后续运维服务要求</w:t>
            </w:r>
          </w:p>
        </w:tc>
        <w:tc>
          <w:tcPr>
            <w:tcW w:w="7477" w:type="dxa"/>
          </w:tcPr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总工期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人员提供3+3（3实施、3开发）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响应时间：7×24 小时服务，紧急故障≤30 分钟响应，一般问题≤2 小时解决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维保期：1年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驻场要求：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维保期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提供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名工程师驻场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ind w:left="5" w:firstLine="47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运维内容：系统升级、故障排查、数据备份、用户培训（每年≥2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2349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报价</w:t>
            </w:r>
          </w:p>
        </w:tc>
        <w:tc>
          <w:tcPr>
            <w:tcW w:w="7477" w:type="dxa"/>
            <w:vAlign w:val="center"/>
          </w:tcPr>
          <w:p>
            <w:pPr>
              <w:pStyle w:val="11"/>
              <w:numPr>
                <w:numId w:val="0"/>
              </w:numPr>
              <w:tabs>
                <w:tab w:val="left" w:pos="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需≤80000元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3C25"/>
    <w:multiLevelType w:val="singleLevel"/>
    <w:tmpl w:val="35BF3C2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theme="minorEastAsia"/>
        <w:sz w:val="20"/>
        <w:szCs w:val="20"/>
      </w:rPr>
    </w:lvl>
  </w:abstractNum>
  <w:abstractNum w:abstractNumId="1">
    <w:nsid w:val="37E84560"/>
    <w:multiLevelType w:val="singleLevel"/>
    <w:tmpl w:val="37E8456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theme="minorEastAsia"/>
        <w:sz w:val="20"/>
        <w:szCs w:val="20"/>
      </w:rPr>
    </w:lvl>
  </w:abstractNum>
  <w:abstractNum w:abstractNumId="2">
    <w:nsid w:val="5B75022E"/>
    <w:multiLevelType w:val="singleLevel"/>
    <w:tmpl w:val="5B75022E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theme="minorEastAsia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04"/>
    <w:rsid w:val="00663F69"/>
    <w:rsid w:val="00783CAB"/>
    <w:rsid w:val="007F3D04"/>
    <w:rsid w:val="00CD1532"/>
    <w:rsid w:val="00F3008E"/>
    <w:rsid w:val="06B34F7C"/>
    <w:rsid w:val="07291B3C"/>
    <w:rsid w:val="0D187F42"/>
    <w:rsid w:val="18BD6CDE"/>
    <w:rsid w:val="192D5062"/>
    <w:rsid w:val="248636AC"/>
    <w:rsid w:val="3244749F"/>
    <w:rsid w:val="32772380"/>
    <w:rsid w:val="4DD802BF"/>
    <w:rsid w:val="4E1C1427"/>
    <w:rsid w:val="570F1B8A"/>
    <w:rsid w:val="58F130E8"/>
    <w:rsid w:val="64F775D6"/>
    <w:rsid w:val="69A16678"/>
    <w:rsid w:val="69EA5DD9"/>
    <w:rsid w:val="6B705AE9"/>
    <w:rsid w:val="6DE03A44"/>
    <w:rsid w:val="771550FF"/>
    <w:rsid w:val="790A575E"/>
    <w:rsid w:val="7960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2830</Words>
  <Characters>2857</Characters>
  <Lines>1</Lines>
  <Paragraphs>1</Paragraphs>
  <TotalTime>9</TotalTime>
  <ScaleCrop>false</ScaleCrop>
  <LinksUpToDate>false</LinksUpToDate>
  <CharactersWithSpaces>2876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2025-02-18T08:48:00Z</dcterms:created>
  <dc:creator>Administrator</dc:creator>
  <cp:lastModifiedBy>刘汝彬</cp:lastModifiedBy>
  <cp:lastPrinted>2025-06-22T06:29:00Z</cp:lastPrinted>
  <dcterms:modified xsi:type="dcterms:W3CDTF">2025-08-26T13:23:26Z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eyJoZGlkIjoiZjkwMWMyMmQ4NGVmMmQyZTkyNTY1ODg4ZWRiM2IxZWMiLCJ1c2VySWQiOiIyNjA5Mjc0NjMifQ==</vt:lpwstr>
  </property>
  <property fmtid="{D5CDD505-2E9C-101B-9397-08002B2CF9AE}" pid="4" name="ICV">
    <vt:lpwstr>418E858746784040BEF7E4E72F255B15_13</vt:lpwstr>
  </property>
</Properties>
</file>