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1F0744">
      <w:pPr>
        <w:jc w:val="center"/>
        <w:rPr>
          <w:rFonts w:ascii="宋体" w:hAnsi="宋体"/>
          <w:sz w:val="24"/>
        </w:rPr>
      </w:pPr>
      <w:r>
        <w:rPr>
          <w:rFonts w:hint="eastAsia" w:ascii="宋体" w:hAnsi="宋体"/>
          <w:b/>
          <w:sz w:val="32"/>
          <w:szCs w:val="32"/>
        </w:rPr>
        <w:t>南宁市第二人民医院人脸识别系统联网服务需求</w:t>
      </w:r>
    </w:p>
    <w:p w14:paraId="30A60FB4">
      <w:pPr>
        <w:jc w:val="left"/>
        <w:rPr>
          <w:rFonts w:hint="eastAsia" w:ascii="宋体" w:hAnsi="宋体"/>
          <w:b/>
          <w:sz w:val="24"/>
          <w:szCs w:val="24"/>
        </w:rPr>
      </w:pPr>
    </w:p>
    <w:p w14:paraId="0AC3B2C7">
      <w:pPr>
        <w:jc w:val="left"/>
        <w:rPr>
          <w:rFonts w:ascii="宋体" w:hAnsi="宋体"/>
          <w:b/>
          <w:sz w:val="24"/>
          <w:szCs w:val="24"/>
        </w:rPr>
      </w:pPr>
      <w:r>
        <w:rPr>
          <w:rFonts w:hint="eastAsia" w:ascii="宋体" w:hAnsi="宋体"/>
          <w:b/>
          <w:sz w:val="24"/>
          <w:szCs w:val="24"/>
        </w:rPr>
        <w:t>一、人脸识别监控升级点：区院正大门、医院侧门、医院外科楼、医院内科楼及医院综合教学楼。</w:t>
      </w:r>
    </w:p>
    <w:p w14:paraId="297D7162">
      <w:pPr>
        <w:pStyle w:val="47"/>
        <w:ind w:left="720" w:firstLine="0" w:firstLineChars="0"/>
        <w:jc w:val="left"/>
        <w:rPr>
          <w:rFonts w:ascii="宋体" w:hAnsi="宋体"/>
          <w:sz w:val="24"/>
        </w:rPr>
      </w:pPr>
    </w:p>
    <w:p w14:paraId="4E7D006F">
      <w:pPr>
        <w:jc w:val="left"/>
      </w:pPr>
      <w:r>
        <w:rPr>
          <w:rFonts w:hint="eastAsia" w:ascii="宋体" w:hAnsi="宋体"/>
          <w:b/>
          <w:sz w:val="24"/>
          <w:szCs w:val="24"/>
        </w:rPr>
        <w:t>二、人脸识别监控升级内容和要求：</w:t>
      </w:r>
    </w:p>
    <w:p w14:paraId="69AB8C52">
      <w:pPr>
        <w:ind w:firstLine="1680" w:firstLineChars="700"/>
        <w:rPr>
          <w:rFonts w:ascii="宋体" w:hAnsi="宋体" w:eastAsia="宋体" w:cs="宋体"/>
          <w:kern w:val="0"/>
          <w:sz w:val="24"/>
          <w:szCs w:val="24"/>
          <w:u w:val="single"/>
        </w:rPr>
      </w:pPr>
    </w:p>
    <w:tbl>
      <w:tblPr>
        <w:tblStyle w:val="27"/>
        <w:tblW w:w="9923"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28"/>
        <w:gridCol w:w="1073"/>
        <w:gridCol w:w="5276"/>
        <w:gridCol w:w="820"/>
        <w:gridCol w:w="992"/>
        <w:gridCol w:w="1134"/>
      </w:tblGrid>
      <w:tr w14:paraId="5A2552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628" w:type="dxa"/>
            <w:vAlign w:val="center"/>
          </w:tcPr>
          <w:p w14:paraId="7BB9C726">
            <w:pPr>
              <w:spacing w:line="400" w:lineRule="exact"/>
              <w:jc w:val="center"/>
            </w:pPr>
            <w:r>
              <w:rPr>
                <w:rFonts w:hint="eastAsia"/>
              </w:rPr>
              <w:t>序号</w:t>
            </w:r>
          </w:p>
        </w:tc>
        <w:tc>
          <w:tcPr>
            <w:tcW w:w="1073" w:type="dxa"/>
            <w:vAlign w:val="center"/>
          </w:tcPr>
          <w:p w14:paraId="2FFF184B">
            <w:pPr>
              <w:spacing w:line="400" w:lineRule="exact"/>
              <w:jc w:val="center"/>
            </w:pPr>
            <w:r>
              <w:rPr>
                <w:rFonts w:hint="eastAsia"/>
              </w:rPr>
              <w:t>服务项目名称</w:t>
            </w:r>
          </w:p>
        </w:tc>
        <w:tc>
          <w:tcPr>
            <w:tcW w:w="5276" w:type="dxa"/>
            <w:vAlign w:val="center"/>
          </w:tcPr>
          <w:p w14:paraId="1DB801F6">
            <w:pPr>
              <w:tabs>
                <w:tab w:val="left" w:pos="180"/>
                <w:tab w:val="left" w:pos="1620"/>
              </w:tabs>
              <w:spacing w:line="400" w:lineRule="exact"/>
              <w:jc w:val="center"/>
            </w:pPr>
            <w:r>
              <w:rPr>
                <w:rFonts w:hint="eastAsia"/>
              </w:rPr>
              <w:t>内容和要求</w:t>
            </w:r>
          </w:p>
        </w:tc>
        <w:tc>
          <w:tcPr>
            <w:tcW w:w="820" w:type="dxa"/>
            <w:vAlign w:val="center"/>
          </w:tcPr>
          <w:p w14:paraId="6E96DC4B">
            <w:pPr>
              <w:spacing w:line="400" w:lineRule="exact"/>
              <w:jc w:val="center"/>
            </w:pPr>
            <w:r>
              <w:rPr>
                <w:rFonts w:hint="eastAsia"/>
              </w:rPr>
              <w:t>数量（个）</w:t>
            </w:r>
          </w:p>
        </w:tc>
        <w:tc>
          <w:tcPr>
            <w:tcW w:w="992" w:type="dxa"/>
            <w:vAlign w:val="center"/>
          </w:tcPr>
          <w:p w14:paraId="4C4B1C26">
            <w:pPr>
              <w:spacing w:line="400" w:lineRule="exact"/>
              <w:jc w:val="center"/>
            </w:pPr>
            <w:r>
              <w:rPr>
                <w:rFonts w:hint="eastAsia"/>
              </w:rPr>
              <w:t>月费小计（元）</w:t>
            </w:r>
          </w:p>
        </w:tc>
        <w:tc>
          <w:tcPr>
            <w:tcW w:w="1134" w:type="dxa"/>
            <w:vAlign w:val="center"/>
          </w:tcPr>
          <w:p w14:paraId="6F5C78B0">
            <w:pPr>
              <w:spacing w:line="400" w:lineRule="exact"/>
              <w:jc w:val="center"/>
            </w:pPr>
            <w:r>
              <w:rPr>
                <w:rFonts w:hint="eastAsia"/>
              </w:rPr>
              <w:t>3年合计（元）</w:t>
            </w:r>
          </w:p>
        </w:tc>
      </w:tr>
      <w:tr w14:paraId="1EF5A89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78" w:hRule="atLeast"/>
        </w:trPr>
        <w:tc>
          <w:tcPr>
            <w:tcW w:w="628" w:type="dxa"/>
            <w:vAlign w:val="center"/>
          </w:tcPr>
          <w:p w14:paraId="627406DB">
            <w:pPr>
              <w:spacing w:line="400" w:lineRule="exact"/>
              <w:jc w:val="center"/>
            </w:pPr>
            <w:r>
              <w:rPr>
                <w:rFonts w:hint="eastAsia"/>
              </w:rPr>
              <w:t>1</w:t>
            </w:r>
          </w:p>
        </w:tc>
        <w:tc>
          <w:tcPr>
            <w:tcW w:w="1073" w:type="dxa"/>
            <w:vAlign w:val="center"/>
          </w:tcPr>
          <w:p w14:paraId="649D6309">
            <w:pPr>
              <w:spacing w:line="400" w:lineRule="exact"/>
              <w:jc w:val="center"/>
            </w:pPr>
            <w:r>
              <w:rPr>
                <w:rFonts w:hint="eastAsia"/>
              </w:rPr>
              <w:t>平安医院人脸识别监控升级服务采购</w:t>
            </w:r>
          </w:p>
        </w:tc>
        <w:tc>
          <w:tcPr>
            <w:tcW w:w="5276" w:type="dxa"/>
            <w:vAlign w:val="center"/>
          </w:tcPr>
          <w:p w14:paraId="70F49F42">
            <w:pPr>
              <w:spacing w:line="360" w:lineRule="auto"/>
              <w:rPr>
                <w:rFonts w:ascii="Calibri" w:hAnsi="Calibri" w:eastAsia="宋体" w:cs="Times New Roman"/>
              </w:rPr>
            </w:pPr>
            <w:r>
              <w:rPr>
                <w:rFonts w:hint="eastAsia" w:ascii="Calibri" w:hAnsi="Calibri" w:eastAsia="宋体" w:cs="Times New Roman"/>
              </w:rPr>
              <w:t>对原有的人脸识别监控进行升级服务，达到以下要求：</w:t>
            </w:r>
          </w:p>
          <w:p w14:paraId="5D11C35F">
            <w:pPr>
              <w:spacing w:line="360" w:lineRule="auto"/>
              <w:rPr>
                <w:rFonts w:ascii="Calibri" w:hAnsi="Calibri" w:eastAsia="宋体" w:cs="Times New Roman"/>
              </w:rPr>
            </w:pPr>
            <w:r>
              <w:rPr>
                <w:rFonts w:hint="eastAsia" w:ascii="Calibri" w:hAnsi="Calibri" w:eastAsia="宋体" w:cs="Times New Roman"/>
              </w:rPr>
              <w:t>1、提供</w:t>
            </w:r>
            <w:r>
              <w:rPr>
                <w:rFonts w:ascii="Calibri" w:hAnsi="Calibri" w:eastAsia="宋体" w:cs="Times New Roman"/>
              </w:rPr>
              <w:t>图像像素不低于</w:t>
            </w:r>
            <w:r>
              <w:rPr>
                <w:rFonts w:hint="eastAsia"/>
              </w:rPr>
              <w:t>3</w:t>
            </w:r>
            <w:r>
              <w:rPr>
                <w:rFonts w:ascii="Calibri" w:hAnsi="Calibri" w:eastAsia="宋体" w:cs="Times New Roman"/>
              </w:rPr>
              <w:t>00万像素，1080P或以上分辨率</w:t>
            </w:r>
            <w:r>
              <w:rPr>
                <w:rFonts w:hint="eastAsia" w:ascii="Calibri" w:hAnsi="Calibri" w:eastAsia="宋体" w:cs="Times New Roman"/>
              </w:rPr>
              <w:t>的视频图像信号采集、传输和存储。</w:t>
            </w:r>
          </w:p>
          <w:p w14:paraId="29264535">
            <w:pPr>
              <w:spacing w:line="360" w:lineRule="auto"/>
              <w:rPr>
                <w:rFonts w:ascii="Calibri" w:hAnsi="Calibri" w:eastAsia="宋体" w:cs="Times New Roman"/>
              </w:rPr>
            </w:pPr>
            <w:r>
              <w:rPr>
                <w:rFonts w:hint="eastAsia" w:ascii="Calibri" w:hAnsi="Calibri" w:eastAsia="宋体" w:cs="Times New Roman"/>
              </w:rPr>
              <w:t>2、</w:t>
            </w:r>
            <w:r>
              <w:rPr>
                <w:rFonts w:ascii="Calibri" w:hAnsi="Calibri" w:eastAsia="宋体" w:cs="Times New Roman"/>
              </w:rPr>
              <w:t>支持白天和夜晚采集图像均能辨识目标颜色，最低照度要求：彩色≤0.005Lux，黑白≤0.001Lux（根据监控环境选配）</w:t>
            </w:r>
            <w:r>
              <w:rPr>
                <w:rFonts w:hint="eastAsia" w:ascii="Calibri" w:hAnsi="Calibri" w:eastAsia="宋体" w:cs="Times New Roman"/>
              </w:rPr>
              <w:t>。</w:t>
            </w:r>
          </w:p>
          <w:p w14:paraId="58E60948">
            <w:pPr>
              <w:spacing w:line="360" w:lineRule="auto"/>
              <w:rPr>
                <w:rFonts w:ascii="Calibri" w:hAnsi="Calibri" w:eastAsia="宋体" w:cs="Times New Roman"/>
              </w:rPr>
            </w:pPr>
            <w:r>
              <w:rPr>
                <w:rFonts w:hint="eastAsia" w:ascii="Calibri" w:hAnsi="Calibri" w:eastAsia="宋体" w:cs="Times New Roman"/>
              </w:rPr>
              <w:t>3、</w:t>
            </w:r>
            <w:r>
              <w:rPr>
                <w:rFonts w:ascii="Calibri" w:hAnsi="Calibri" w:eastAsia="宋体" w:cs="Times New Roman"/>
              </w:rPr>
              <w:t>采集的人体活动目标像素宽度不低于80像素，高度不低于120像素。</w:t>
            </w:r>
          </w:p>
          <w:p w14:paraId="675DA587">
            <w:pPr>
              <w:spacing w:line="360" w:lineRule="auto"/>
              <w:rPr>
                <w:rFonts w:ascii="Calibri" w:hAnsi="Calibri" w:eastAsia="宋体" w:cs="Times New Roman"/>
              </w:rPr>
            </w:pPr>
            <w:r>
              <w:rPr>
                <w:rFonts w:hint="eastAsia" w:ascii="Calibri" w:hAnsi="Calibri" w:eastAsia="宋体" w:cs="Times New Roman"/>
              </w:rPr>
              <w:t>4、</w:t>
            </w:r>
            <w:r>
              <w:rPr>
                <w:rFonts w:ascii="Calibri" w:hAnsi="Calibri" w:eastAsia="宋体" w:cs="Times New Roman"/>
              </w:rPr>
              <w:t>支持白天、夜晚全天候活动目标清晰图像采集能力</w:t>
            </w:r>
            <w:r>
              <w:rPr>
                <w:rFonts w:hint="eastAsia" w:ascii="Calibri" w:hAnsi="Calibri" w:eastAsia="宋体" w:cs="Times New Roman"/>
              </w:rPr>
              <w:t>。</w:t>
            </w:r>
          </w:p>
          <w:p w14:paraId="156011D0">
            <w:pPr>
              <w:spacing w:line="360" w:lineRule="auto"/>
              <w:rPr>
                <w:rFonts w:ascii="Calibri" w:hAnsi="Calibri" w:eastAsia="宋体" w:cs="Times New Roman"/>
              </w:rPr>
            </w:pPr>
            <w:r>
              <w:rPr>
                <w:rFonts w:hint="eastAsia" w:ascii="Calibri" w:hAnsi="Calibri" w:eastAsia="宋体" w:cs="Times New Roman"/>
              </w:rPr>
              <w:t>5、视图库存储：</w:t>
            </w:r>
            <w:r>
              <w:rPr>
                <w:rFonts w:ascii="Calibri" w:hAnsi="Calibri" w:eastAsia="宋体" w:cs="Times New Roman"/>
              </w:rPr>
              <w:t>人</w:t>
            </w:r>
            <w:r>
              <w:rPr>
                <w:rFonts w:hint="eastAsia" w:ascii="Calibri" w:hAnsi="Calibri" w:eastAsia="宋体" w:cs="Times New Roman"/>
              </w:rPr>
              <w:t>脸</w:t>
            </w:r>
            <w:r>
              <w:rPr>
                <w:rFonts w:ascii="Calibri" w:hAnsi="Calibri" w:eastAsia="宋体" w:cs="Times New Roman"/>
              </w:rPr>
              <w:t>卡口抓拍摄像机，可实现人脸抓拍并上传</w:t>
            </w:r>
            <w:r>
              <w:rPr>
                <w:rFonts w:hint="eastAsia"/>
              </w:rPr>
              <w:t>布控，对已布控人脸入侵抓拍时系统提示</w:t>
            </w:r>
            <w:r>
              <w:rPr>
                <w:rFonts w:hint="eastAsia" w:ascii="Calibri" w:hAnsi="Calibri" w:eastAsia="宋体" w:cs="Times New Roman"/>
              </w:rPr>
              <w:t>。</w:t>
            </w:r>
          </w:p>
          <w:p w14:paraId="5929CCBB">
            <w:pPr>
              <w:spacing w:line="360" w:lineRule="auto"/>
              <w:rPr>
                <w:rFonts w:ascii="Calibri" w:hAnsi="Calibri" w:eastAsia="宋体" w:cs="Times New Roman"/>
              </w:rPr>
            </w:pPr>
            <w:r>
              <w:rPr>
                <w:rFonts w:hint="eastAsia" w:ascii="Calibri" w:hAnsi="Calibri" w:eastAsia="宋体" w:cs="Times New Roman"/>
              </w:rPr>
              <w:t>7、</w:t>
            </w:r>
            <w:r>
              <w:rPr>
                <w:rFonts w:ascii="Calibri" w:hAnsi="Calibri" w:eastAsia="宋体" w:cs="Times New Roman"/>
              </w:rPr>
              <w:t>监控视频按照H.264</w:t>
            </w:r>
            <w:r>
              <w:rPr>
                <w:rFonts w:hint="eastAsia" w:ascii="Calibri" w:hAnsi="Calibri" w:eastAsia="宋体" w:cs="Times New Roman"/>
              </w:rPr>
              <w:t>/</w:t>
            </w:r>
            <w:r>
              <w:rPr>
                <w:rFonts w:ascii="Calibri" w:hAnsi="Calibri" w:eastAsia="宋体" w:cs="Times New Roman"/>
              </w:rPr>
              <w:t>H.265格式进行存储</w:t>
            </w:r>
            <w:r>
              <w:rPr>
                <w:rFonts w:hint="eastAsia" w:ascii="Calibri" w:hAnsi="Calibri" w:eastAsia="宋体" w:cs="Times New Roman"/>
              </w:rPr>
              <w:t>，</w:t>
            </w:r>
            <w:r>
              <w:rPr>
                <w:rFonts w:ascii="Calibri" w:hAnsi="Calibri" w:eastAsia="宋体" w:cs="Times New Roman"/>
              </w:rPr>
              <w:t>视频数据存储时长不低于</w:t>
            </w:r>
            <w:r>
              <w:rPr>
                <w:rFonts w:hint="eastAsia" w:ascii="Calibri" w:hAnsi="Calibri" w:eastAsia="宋体" w:cs="Times New Roman"/>
              </w:rPr>
              <w:t>90</w:t>
            </w:r>
            <w:r>
              <w:rPr>
                <w:rFonts w:ascii="Calibri" w:hAnsi="Calibri" w:eastAsia="宋体" w:cs="Times New Roman"/>
              </w:rPr>
              <w:t>天，并可查看不少于</w:t>
            </w:r>
            <w:r>
              <w:rPr>
                <w:rFonts w:hint="eastAsia" w:ascii="Calibri" w:hAnsi="Calibri" w:eastAsia="宋体" w:cs="Times New Roman"/>
              </w:rPr>
              <w:t>90</w:t>
            </w:r>
            <w:r>
              <w:rPr>
                <w:rFonts w:ascii="Calibri" w:hAnsi="Calibri" w:eastAsia="宋体" w:cs="Times New Roman"/>
              </w:rPr>
              <w:t>天的视频录像</w:t>
            </w:r>
            <w:r>
              <w:rPr>
                <w:rFonts w:hint="eastAsia" w:ascii="Calibri" w:hAnsi="Calibri" w:eastAsia="宋体" w:cs="Times New Roman"/>
              </w:rPr>
              <w:t>，</w:t>
            </w:r>
            <w:r>
              <w:rPr>
                <w:rFonts w:ascii="Calibri" w:hAnsi="Calibri" w:eastAsia="宋体" w:cs="Times New Roman"/>
              </w:rPr>
              <w:t>视频数据存储码流不低于4Mbps</w:t>
            </w:r>
            <w:r>
              <w:rPr>
                <w:rFonts w:hint="eastAsia" w:ascii="Calibri" w:hAnsi="Calibri" w:eastAsia="宋体" w:cs="Times New Roman"/>
              </w:rPr>
              <w:t>。</w:t>
            </w:r>
          </w:p>
          <w:p w14:paraId="08947097">
            <w:pPr>
              <w:spacing w:line="360" w:lineRule="auto"/>
              <w:rPr>
                <w:rFonts w:ascii="Calibri" w:hAnsi="Calibri" w:eastAsia="宋体" w:cs="Times New Roman"/>
              </w:rPr>
            </w:pPr>
            <w:r>
              <w:rPr>
                <w:rFonts w:ascii="Calibri" w:hAnsi="Calibri" w:eastAsia="宋体" w:cs="Times New Roman"/>
              </w:rPr>
              <w:t>8</w:t>
            </w:r>
            <w:r>
              <w:rPr>
                <w:rFonts w:hint="eastAsia" w:ascii="Calibri" w:hAnsi="Calibri" w:eastAsia="宋体" w:cs="Times New Roman"/>
              </w:rPr>
              <w:t>、</w:t>
            </w:r>
            <w:r>
              <w:rPr>
                <w:rFonts w:ascii="Calibri" w:hAnsi="Calibri" w:eastAsia="宋体" w:cs="Times New Roman"/>
              </w:rPr>
              <w:t>满足《安全防范视频监控联网系统信息传输、交换、控制技术要求》（GB/T 28181-2016）和《公安视频图像信息应用系统》（GA/T 1400-2017）要求</w:t>
            </w:r>
            <w:r>
              <w:rPr>
                <w:rFonts w:hint="eastAsia" w:ascii="Calibri" w:hAnsi="Calibri" w:eastAsia="宋体" w:cs="Times New Roman"/>
              </w:rPr>
              <w:t>。</w:t>
            </w:r>
          </w:p>
          <w:p w14:paraId="2A113232">
            <w:pPr>
              <w:spacing w:line="400" w:lineRule="exact"/>
              <w:jc w:val="left"/>
            </w:pPr>
            <w:r>
              <w:rPr>
                <w:rFonts w:ascii="Calibri" w:hAnsi="Calibri" w:eastAsia="宋体" w:cs="Times New Roman"/>
              </w:rPr>
              <w:t>9</w:t>
            </w:r>
            <w:r>
              <w:rPr>
                <w:rFonts w:hint="eastAsia" w:ascii="Calibri" w:hAnsi="Calibri" w:eastAsia="宋体" w:cs="Times New Roman"/>
              </w:rPr>
              <w:t>、</w:t>
            </w:r>
            <w:r>
              <w:rPr>
                <w:rFonts w:ascii="Calibri" w:hAnsi="Calibri" w:eastAsia="宋体" w:cs="Times New Roman"/>
              </w:rPr>
              <w:t>联网标准满足GB 35114-2017《公共安全视频监控联网信息安全技术要求》内容</w:t>
            </w:r>
            <w:r>
              <w:rPr>
                <w:rFonts w:hint="eastAsia" w:ascii="Calibri" w:hAnsi="Calibri" w:eastAsia="宋体" w:cs="Times New Roman"/>
              </w:rPr>
              <w:t>。</w:t>
            </w:r>
          </w:p>
          <w:p w14:paraId="18FDA2D7">
            <w:pPr>
              <w:spacing w:line="400" w:lineRule="exact"/>
              <w:jc w:val="left"/>
            </w:pPr>
            <w:r>
              <w:rPr>
                <w:rFonts w:hint="eastAsia"/>
              </w:rPr>
              <w:t>10、一条不少于50M专线，接入公安系统平台，</w:t>
            </w:r>
            <w:r>
              <w:t>实时视频回传：支持将摄像头图像直接传送到云端或云存储</w:t>
            </w:r>
            <w:r>
              <w:rPr>
                <w:rFonts w:hint="eastAsia"/>
              </w:rPr>
              <w:t>，</w:t>
            </w:r>
            <w:r>
              <w:t>报警通知：实时推送告警信息至手机或系统</w:t>
            </w:r>
            <w:r>
              <w:rPr>
                <w:rFonts w:hint="eastAsia"/>
              </w:rPr>
              <w:t>。</w:t>
            </w:r>
          </w:p>
          <w:p w14:paraId="5A3E8C7B">
            <w:pPr>
              <w:spacing w:line="400" w:lineRule="exact"/>
              <w:jc w:val="left"/>
            </w:pPr>
            <w:r>
              <w:rPr>
                <w:rFonts w:hint="eastAsia"/>
              </w:rPr>
              <w:t>11、</w:t>
            </w:r>
            <w:r>
              <w:t>服务完成时间：自签订合同之日起</w:t>
            </w:r>
            <w:r>
              <w:rPr>
                <w:rFonts w:hint="eastAsia"/>
              </w:rPr>
              <w:t>7</w:t>
            </w:r>
            <w:r>
              <w:t>日内完成</w:t>
            </w:r>
            <w:r>
              <w:rPr>
                <w:rFonts w:hint="eastAsia"/>
              </w:rPr>
              <w:t>升级</w:t>
            </w:r>
            <w:r>
              <w:t>调试</w:t>
            </w:r>
            <w:r>
              <w:rPr>
                <w:rFonts w:hint="eastAsia"/>
              </w:rPr>
              <w:t>服务</w:t>
            </w:r>
            <w:r>
              <w:t>。</w:t>
            </w:r>
          </w:p>
          <w:p w14:paraId="13AF30B0">
            <w:pPr>
              <w:spacing w:line="400" w:lineRule="exact"/>
              <w:jc w:val="left"/>
            </w:pPr>
            <w:r>
              <w:rPr>
                <w:rFonts w:hint="eastAsia"/>
              </w:rPr>
              <w:t>12、售后要求：</w:t>
            </w:r>
          </w:p>
          <w:p w14:paraId="30EC78EF">
            <w:pPr>
              <w:spacing w:line="400" w:lineRule="exact"/>
              <w:ind w:firstLine="315" w:firstLineChars="150"/>
              <w:jc w:val="left"/>
            </w:pPr>
            <w:r>
              <w:rPr>
                <w:rFonts w:hint="eastAsia" w:ascii="Arial" w:hAnsi="Arial" w:cs="Arial"/>
              </w:rPr>
              <w:t>（</w:t>
            </w:r>
            <w:r>
              <w:rPr>
                <w:rFonts w:ascii="Calibri" w:hAnsi="Calibri" w:cs="Calibri"/>
              </w:rPr>
              <w:t>1</w:t>
            </w:r>
            <w:r>
              <w:rPr>
                <w:rFonts w:hint="eastAsia" w:ascii="Calibri" w:hAnsi="Calibri" w:cs="Calibri"/>
              </w:rPr>
              <w:t>）</w:t>
            </w:r>
            <w:r>
              <w:t>、质量保证期 </w:t>
            </w:r>
            <w:r>
              <w:rPr>
                <w:rFonts w:hint="eastAsia"/>
              </w:rPr>
              <w:t>3</w:t>
            </w:r>
            <w:r>
              <w:t>年（自提交服务成果并验收合格之日起计）。</w:t>
            </w:r>
            <w:r>
              <w:br w:type="textWrapping"/>
            </w:r>
            <w:r>
              <w:rPr>
                <w:rFonts w:hint="eastAsia" w:ascii="Arial" w:hAnsi="Arial" w:cs="Arial"/>
              </w:rPr>
              <w:t xml:space="preserve">   （</w:t>
            </w:r>
            <w:r>
              <w:rPr>
                <w:rFonts w:ascii="Calibri" w:hAnsi="Calibri" w:cs="Calibri"/>
              </w:rPr>
              <w:t>2</w:t>
            </w:r>
            <w:r>
              <w:rPr>
                <w:rFonts w:hint="eastAsia" w:ascii="Calibri" w:hAnsi="Calibri" w:cs="Calibri"/>
              </w:rPr>
              <w:t>）</w:t>
            </w:r>
            <w:r>
              <w:t>、提供7×24小时热线电话服务，并提供故障申告途径及绿色通道，做到全方位响应，并指定专人负责上门受理调试日常维护及平时协助采购人维护检测等工作；提供365×24小时的售后服务响应；</w:t>
            </w:r>
            <w:r>
              <w:br w:type="textWrapping"/>
            </w:r>
            <w:r>
              <w:rPr>
                <w:rFonts w:hint="eastAsia"/>
              </w:rPr>
              <w:t xml:space="preserve">   （</w:t>
            </w:r>
            <w:r>
              <w:t>3</w:t>
            </w:r>
            <w:r>
              <w:rPr>
                <w:rFonts w:hint="eastAsia"/>
              </w:rPr>
              <w:t>）</w:t>
            </w:r>
            <w:r>
              <w:t>、保证网络的畅通，成交供应商负责运营商到采购人主干光缆所有设备的免费运行维护，如光端机、转换器等设备，如果主干网络出现问题，必须在接到报告后2个小时内到达现场，负责排除故障，直到网络恢复正常，如设备故障在6小时内无法解决的应免费提供备件，确保网络正常运行；</w:t>
            </w:r>
          </w:p>
          <w:p w14:paraId="1F7BE5A1">
            <w:pPr>
              <w:spacing w:line="400" w:lineRule="exact"/>
              <w:ind w:firstLine="315" w:firstLineChars="150"/>
              <w:jc w:val="left"/>
            </w:pPr>
            <w:r>
              <w:rPr>
                <w:rFonts w:hint="eastAsia"/>
              </w:rPr>
              <w:t>（4）</w:t>
            </w:r>
            <w:r>
              <w:t>服务配套设备要求：服务期间对网络线路进行维护测试所需要使用的工具及软件由成交供应商自备，不能要求采购人另行采购或提供。</w:t>
            </w:r>
          </w:p>
          <w:p w14:paraId="7CA45F78">
            <w:pPr>
              <w:spacing w:line="400" w:lineRule="exact"/>
              <w:ind w:firstLine="315" w:firstLineChars="150"/>
              <w:jc w:val="left"/>
              <w:rPr>
                <w:rFonts w:hint="default" w:eastAsiaTheme="minorEastAsia"/>
                <w:lang w:val="en-US" w:eastAsia="zh-CN"/>
              </w:rPr>
            </w:pPr>
            <w:r>
              <w:rPr>
                <w:rFonts w:hint="eastAsia"/>
                <w:lang w:val="en-US" w:eastAsia="zh-CN"/>
              </w:rPr>
              <w:t>13；预算为：52,020.00元</w:t>
            </w:r>
          </w:p>
        </w:tc>
        <w:tc>
          <w:tcPr>
            <w:tcW w:w="820" w:type="dxa"/>
            <w:vAlign w:val="center"/>
          </w:tcPr>
          <w:p w14:paraId="10AFCB2D">
            <w:pPr>
              <w:spacing w:line="400" w:lineRule="exact"/>
              <w:jc w:val="center"/>
            </w:pPr>
            <w:r>
              <w:rPr>
                <w:rFonts w:hint="eastAsia"/>
              </w:rPr>
              <w:t>5</w:t>
            </w:r>
          </w:p>
        </w:tc>
        <w:tc>
          <w:tcPr>
            <w:tcW w:w="992" w:type="dxa"/>
            <w:vAlign w:val="center"/>
          </w:tcPr>
          <w:p w14:paraId="33EB8A98">
            <w:pPr>
              <w:spacing w:line="400" w:lineRule="exact"/>
              <w:jc w:val="center"/>
            </w:pPr>
          </w:p>
        </w:tc>
        <w:tc>
          <w:tcPr>
            <w:tcW w:w="1134" w:type="dxa"/>
            <w:vAlign w:val="center"/>
          </w:tcPr>
          <w:p w14:paraId="727EB6A1">
            <w:pPr>
              <w:spacing w:line="400" w:lineRule="exact"/>
              <w:jc w:val="center"/>
            </w:pPr>
          </w:p>
        </w:tc>
      </w:tr>
    </w:tbl>
    <w:p w14:paraId="1686A6D1">
      <w:pPr>
        <w:spacing w:line="400" w:lineRule="exact"/>
        <w:rPr>
          <w:rFonts w:ascii="宋体" w:hAnsi="宋体"/>
          <w:b/>
          <w:sz w:val="24"/>
          <w:szCs w:val="24"/>
        </w:rPr>
      </w:pPr>
    </w:p>
    <w:sectPr>
      <w:footerReference r:id="rId3" w:type="default"/>
      <w:pgSz w:w="11906" w:h="16838"/>
      <w:pgMar w:top="1440" w:right="1134" w:bottom="1440" w:left="1134"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509397"/>
    </w:sdtPr>
    <w:sdtContent>
      <w:p w14:paraId="7089A708">
        <w:pPr>
          <w:pStyle w:val="19"/>
          <w:jc w:val="center"/>
        </w:pPr>
        <w:r>
          <w:fldChar w:fldCharType="begin"/>
        </w:r>
        <w:r>
          <w:instrText xml:space="preserve"> PAGE   \* MERGEFORMAT </w:instrText>
        </w:r>
        <w:r>
          <w:fldChar w:fldCharType="separate"/>
        </w:r>
        <w:r>
          <w:rPr>
            <w:lang w:val="zh-CN"/>
          </w:rPr>
          <w:t>1</w:t>
        </w:r>
        <w:r>
          <w:rPr>
            <w:lang w:val="zh-CN"/>
          </w:rPr>
          <w:fldChar w:fldCharType="end"/>
        </w:r>
      </w:p>
    </w:sdtContent>
  </w:sdt>
  <w:p w14:paraId="5C2C42F0">
    <w:pPr>
      <w:pStyle w:val="1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592"/>
    <w:rsid w:val="00003BF6"/>
    <w:rsid w:val="00006F99"/>
    <w:rsid w:val="0002003A"/>
    <w:rsid w:val="00036719"/>
    <w:rsid w:val="000466EF"/>
    <w:rsid w:val="00066260"/>
    <w:rsid w:val="00067C05"/>
    <w:rsid w:val="00076304"/>
    <w:rsid w:val="0009443E"/>
    <w:rsid w:val="000964B0"/>
    <w:rsid w:val="000974FA"/>
    <w:rsid w:val="000A3B42"/>
    <w:rsid w:val="000B2A38"/>
    <w:rsid w:val="000C387D"/>
    <w:rsid w:val="000D59A9"/>
    <w:rsid w:val="000E5EBA"/>
    <w:rsid w:val="000F48B1"/>
    <w:rsid w:val="00117447"/>
    <w:rsid w:val="0012343F"/>
    <w:rsid w:val="001321CA"/>
    <w:rsid w:val="001415C2"/>
    <w:rsid w:val="0014503A"/>
    <w:rsid w:val="00146D7E"/>
    <w:rsid w:val="0017104C"/>
    <w:rsid w:val="00173E57"/>
    <w:rsid w:val="00184CE9"/>
    <w:rsid w:val="00185690"/>
    <w:rsid w:val="0018702D"/>
    <w:rsid w:val="0019710F"/>
    <w:rsid w:val="001A07F2"/>
    <w:rsid w:val="001C1F57"/>
    <w:rsid w:val="001E3DAA"/>
    <w:rsid w:val="001E47DD"/>
    <w:rsid w:val="001F09E7"/>
    <w:rsid w:val="001F3B99"/>
    <w:rsid w:val="00217210"/>
    <w:rsid w:val="0028279E"/>
    <w:rsid w:val="00291E32"/>
    <w:rsid w:val="00294F4B"/>
    <w:rsid w:val="002A17CD"/>
    <w:rsid w:val="002A6958"/>
    <w:rsid w:val="002B646B"/>
    <w:rsid w:val="002B724B"/>
    <w:rsid w:val="002C27B1"/>
    <w:rsid w:val="002D635A"/>
    <w:rsid w:val="002D7355"/>
    <w:rsid w:val="002E4106"/>
    <w:rsid w:val="002E4262"/>
    <w:rsid w:val="002E5CE5"/>
    <w:rsid w:val="002E6465"/>
    <w:rsid w:val="002E7E22"/>
    <w:rsid w:val="002F1879"/>
    <w:rsid w:val="002F4725"/>
    <w:rsid w:val="00310E8B"/>
    <w:rsid w:val="00334483"/>
    <w:rsid w:val="00335419"/>
    <w:rsid w:val="00344957"/>
    <w:rsid w:val="00345B27"/>
    <w:rsid w:val="003555DE"/>
    <w:rsid w:val="00364388"/>
    <w:rsid w:val="003643C2"/>
    <w:rsid w:val="00365278"/>
    <w:rsid w:val="00370F5B"/>
    <w:rsid w:val="00371736"/>
    <w:rsid w:val="00375844"/>
    <w:rsid w:val="00384C73"/>
    <w:rsid w:val="00387A73"/>
    <w:rsid w:val="003A0588"/>
    <w:rsid w:val="003A1767"/>
    <w:rsid w:val="003B0721"/>
    <w:rsid w:val="003D1433"/>
    <w:rsid w:val="003D1AB2"/>
    <w:rsid w:val="003D1F29"/>
    <w:rsid w:val="003D49B8"/>
    <w:rsid w:val="003E1471"/>
    <w:rsid w:val="003E268D"/>
    <w:rsid w:val="003E4C2C"/>
    <w:rsid w:val="003E66EF"/>
    <w:rsid w:val="003F3EA0"/>
    <w:rsid w:val="003F43E8"/>
    <w:rsid w:val="003F7113"/>
    <w:rsid w:val="003F7E0E"/>
    <w:rsid w:val="00404339"/>
    <w:rsid w:val="004305FE"/>
    <w:rsid w:val="00440758"/>
    <w:rsid w:val="004569F1"/>
    <w:rsid w:val="00482127"/>
    <w:rsid w:val="00483571"/>
    <w:rsid w:val="00487A0E"/>
    <w:rsid w:val="00491CD6"/>
    <w:rsid w:val="00494069"/>
    <w:rsid w:val="004A05A0"/>
    <w:rsid w:val="004B6513"/>
    <w:rsid w:val="004B6EBE"/>
    <w:rsid w:val="004C67B6"/>
    <w:rsid w:val="004F33B7"/>
    <w:rsid w:val="004F5717"/>
    <w:rsid w:val="004F5822"/>
    <w:rsid w:val="00512185"/>
    <w:rsid w:val="005177CE"/>
    <w:rsid w:val="005355EA"/>
    <w:rsid w:val="005378DF"/>
    <w:rsid w:val="005414F7"/>
    <w:rsid w:val="005449CA"/>
    <w:rsid w:val="005717AC"/>
    <w:rsid w:val="0057418D"/>
    <w:rsid w:val="005802A8"/>
    <w:rsid w:val="00583EC4"/>
    <w:rsid w:val="005875F6"/>
    <w:rsid w:val="005876FD"/>
    <w:rsid w:val="005877C1"/>
    <w:rsid w:val="0059238C"/>
    <w:rsid w:val="005A7873"/>
    <w:rsid w:val="005C26B7"/>
    <w:rsid w:val="005C546B"/>
    <w:rsid w:val="005C6015"/>
    <w:rsid w:val="005C7019"/>
    <w:rsid w:val="005F39DF"/>
    <w:rsid w:val="005F62CE"/>
    <w:rsid w:val="006003C4"/>
    <w:rsid w:val="0060368F"/>
    <w:rsid w:val="00603BD5"/>
    <w:rsid w:val="00622761"/>
    <w:rsid w:val="00627BDD"/>
    <w:rsid w:val="00640C3C"/>
    <w:rsid w:val="006422C4"/>
    <w:rsid w:val="00643196"/>
    <w:rsid w:val="00644174"/>
    <w:rsid w:val="006564A6"/>
    <w:rsid w:val="006818D3"/>
    <w:rsid w:val="006B0546"/>
    <w:rsid w:val="006B49B8"/>
    <w:rsid w:val="006B7813"/>
    <w:rsid w:val="006C0882"/>
    <w:rsid w:val="006C1C3B"/>
    <w:rsid w:val="006C4D1D"/>
    <w:rsid w:val="006E10E9"/>
    <w:rsid w:val="006E3B45"/>
    <w:rsid w:val="00700763"/>
    <w:rsid w:val="00724D32"/>
    <w:rsid w:val="00731B16"/>
    <w:rsid w:val="00762EAD"/>
    <w:rsid w:val="00771643"/>
    <w:rsid w:val="007717A7"/>
    <w:rsid w:val="00793D8D"/>
    <w:rsid w:val="00794A8A"/>
    <w:rsid w:val="0079765F"/>
    <w:rsid w:val="007A40DF"/>
    <w:rsid w:val="007B4598"/>
    <w:rsid w:val="007B70FE"/>
    <w:rsid w:val="007C5C96"/>
    <w:rsid w:val="007D0FC9"/>
    <w:rsid w:val="007D66B4"/>
    <w:rsid w:val="007E110E"/>
    <w:rsid w:val="0080026A"/>
    <w:rsid w:val="00806EAA"/>
    <w:rsid w:val="00817CF9"/>
    <w:rsid w:val="00827116"/>
    <w:rsid w:val="008331DD"/>
    <w:rsid w:val="00833CE5"/>
    <w:rsid w:val="00837D78"/>
    <w:rsid w:val="00845118"/>
    <w:rsid w:val="00861F6D"/>
    <w:rsid w:val="008656C2"/>
    <w:rsid w:val="00877A54"/>
    <w:rsid w:val="00885098"/>
    <w:rsid w:val="008903A2"/>
    <w:rsid w:val="00895236"/>
    <w:rsid w:val="008A41B6"/>
    <w:rsid w:val="008B25CE"/>
    <w:rsid w:val="008B3F2E"/>
    <w:rsid w:val="008C2D2A"/>
    <w:rsid w:val="008C591F"/>
    <w:rsid w:val="008D2BAE"/>
    <w:rsid w:val="008F2251"/>
    <w:rsid w:val="00914628"/>
    <w:rsid w:val="0091619F"/>
    <w:rsid w:val="00917670"/>
    <w:rsid w:val="00924C85"/>
    <w:rsid w:val="00933788"/>
    <w:rsid w:val="0093442C"/>
    <w:rsid w:val="009378A1"/>
    <w:rsid w:val="00940DAE"/>
    <w:rsid w:val="00954FD8"/>
    <w:rsid w:val="00970491"/>
    <w:rsid w:val="009915E6"/>
    <w:rsid w:val="0099424D"/>
    <w:rsid w:val="009958B5"/>
    <w:rsid w:val="00996CD3"/>
    <w:rsid w:val="00997614"/>
    <w:rsid w:val="009A0193"/>
    <w:rsid w:val="009A27D5"/>
    <w:rsid w:val="009B4B1C"/>
    <w:rsid w:val="009F38AF"/>
    <w:rsid w:val="00A0425A"/>
    <w:rsid w:val="00A14E21"/>
    <w:rsid w:val="00A1713E"/>
    <w:rsid w:val="00A258FD"/>
    <w:rsid w:val="00A35A9D"/>
    <w:rsid w:val="00A35E1C"/>
    <w:rsid w:val="00A44FE1"/>
    <w:rsid w:val="00A45519"/>
    <w:rsid w:val="00A6389E"/>
    <w:rsid w:val="00A7675D"/>
    <w:rsid w:val="00A83976"/>
    <w:rsid w:val="00A86470"/>
    <w:rsid w:val="00AA2593"/>
    <w:rsid w:val="00AA2C31"/>
    <w:rsid w:val="00AA6881"/>
    <w:rsid w:val="00AC3CC6"/>
    <w:rsid w:val="00AD14BC"/>
    <w:rsid w:val="00AD279A"/>
    <w:rsid w:val="00AF548D"/>
    <w:rsid w:val="00B064DA"/>
    <w:rsid w:val="00B225A4"/>
    <w:rsid w:val="00B458F9"/>
    <w:rsid w:val="00B5407F"/>
    <w:rsid w:val="00B579C0"/>
    <w:rsid w:val="00B648BA"/>
    <w:rsid w:val="00B77B42"/>
    <w:rsid w:val="00B86972"/>
    <w:rsid w:val="00B947A5"/>
    <w:rsid w:val="00B958AD"/>
    <w:rsid w:val="00BA24DA"/>
    <w:rsid w:val="00BA3592"/>
    <w:rsid w:val="00BB74A0"/>
    <w:rsid w:val="00BC25DC"/>
    <w:rsid w:val="00BC28BF"/>
    <w:rsid w:val="00BE110C"/>
    <w:rsid w:val="00C15108"/>
    <w:rsid w:val="00C33585"/>
    <w:rsid w:val="00C56176"/>
    <w:rsid w:val="00C57BFE"/>
    <w:rsid w:val="00C77D97"/>
    <w:rsid w:val="00C86B1C"/>
    <w:rsid w:val="00C928D4"/>
    <w:rsid w:val="00CA204A"/>
    <w:rsid w:val="00CA23C0"/>
    <w:rsid w:val="00CB18D3"/>
    <w:rsid w:val="00CD3880"/>
    <w:rsid w:val="00CD51EC"/>
    <w:rsid w:val="00CD6C8D"/>
    <w:rsid w:val="00CD7F49"/>
    <w:rsid w:val="00CF7B77"/>
    <w:rsid w:val="00D03E06"/>
    <w:rsid w:val="00D11F1B"/>
    <w:rsid w:val="00D50197"/>
    <w:rsid w:val="00D54602"/>
    <w:rsid w:val="00D8120D"/>
    <w:rsid w:val="00D83480"/>
    <w:rsid w:val="00D863E6"/>
    <w:rsid w:val="00D87267"/>
    <w:rsid w:val="00D912CB"/>
    <w:rsid w:val="00D93CBC"/>
    <w:rsid w:val="00DA01CB"/>
    <w:rsid w:val="00DA5342"/>
    <w:rsid w:val="00DB2D55"/>
    <w:rsid w:val="00DB55D6"/>
    <w:rsid w:val="00DC052D"/>
    <w:rsid w:val="00DD5B66"/>
    <w:rsid w:val="00E0720D"/>
    <w:rsid w:val="00E16FFD"/>
    <w:rsid w:val="00E218DD"/>
    <w:rsid w:val="00E23ED0"/>
    <w:rsid w:val="00E2502F"/>
    <w:rsid w:val="00E31229"/>
    <w:rsid w:val="00E32C3A"/>
    <w:rsid w:val="00E36912"/>
    <w:rsid w:val="00E435F8"/>
    <w:rsid w:val="00E44C49"/>
    <w:rsid w:val="00E51615"/>
    <w:rsid w:val="00E553CA"/>
    <w:rsid w:val="00E62E9F"/>
    <w:rsid w:val="00E67C2D"/>
    <w:rsid w:val="00E731A9"/>
    <w:rsid w:val="00E73646"/>
    <w:rsid w:val="00E92172"/>
    <w:rsid w:val="00E9265E"/>
    <w:rsid w:val="00E95716"/>
    <w:rsid w:val="00EA6563"/>
    <w:rsid w:val="00EA6874"/>
    <w:rsid w:val="00EC357D"/>
    <w:rsid w:val="00EC6064"/>
    <w:rsid w:val="00F00D79"/>
    <w:rsid w:val="00F0352C"/>
    <w:rsid w:val="00F3010B"/>
    <w:rsid w:val="00F32FCD"/>
    <w:rsid w:val="00F359FE"/>
    <w:rsid w:val="00F50444"/>
    <w:rsid w:val="00F57EB7"/>
    <w:rsid w:val="00F60D53"/>
    <w:rsid w:val="00F6418D"/>
    <w:rsid w:val="00F86081"/>
    <w:rsid w:val="00F92489"/>
    <w:rsid w:val="00F93331"/>
    <w:rsid w:val="00FA3C2E"/>
    <w:rsid w:val="00FC78B4"/>
    <w:rsid w:val="00FE23FE"/>
    <w:rsid w:val="00FF1259"/>
    <w:rsid w:val="01AD7FC3"/>
    <w:rsid w:val="02FA62D0"/>
    <w:rsid w:val="032C1655"/>
    <w:rsid w:val="049F0905"/>
    <w:rsid w:val="07A43CDD"/>
    <w:rsid w:val="0CD16D0F"/>
    <w:rsid w:val="0F5A68DD"/>
    <w:rsid w:val="0F9A0E14"/>
    <w:rsid w:val="0FA81634"/>
    <w:rsid w:val="108E7A57"/>
    <w:rsid w:val="11157845"/>
    <w:rsid w:val="13722767"/>
    <w:rsid w:val="157F5E26"/>
    <w:rsid w:val="16597D2F"/>
    <w:rsid w:val="165B6870"/>
    <w:rsid w:val="19093D2D"/>
    <w:rsid w:val="19E75211"/>
    <w:rsid w:val="1B833722"/>
    <w:rsid w:val="1C131F57"/>
    <w:rsid w:val="1E7F4406"/>
    <w:rsid w:val="1FC718AE"/>
    <w:rsid w:val="20357B53"/>
    <w:rsid w:val="218C227E"/>
    <w:rsid w:val="229D1A78"/>
    <w:rsid w:val="23535DF5"/>
    <w:rsid w:val="2650413E"/>
    <w:rsid w:val="28814D8D"/>
    <w:rsid w:val="296D58CF"/>
    <w:rsid w:val="29F833A8"/>
    <w:rsid w:val="2B215704"/>
    <w:rsid w:val="2CBC344A"/>
    <w:rsid w:val="2D837D01"/>
    <w:rsid w:val="339D3BC6"/>
    <w:rsid w:val="33BA200C"/>
    <w:rsid w:val="35D2691D"/>
    <w:rsid w:val="382E78C7"/>
    <w:rsid w:val="39940E8F"/>
    <w:rsid w:val="3DBA7B8E"/>
    <w:rsid w:val="3EA23802"/>
    <w:rsid w:val="3F9B73A7"/>
    <w:rsid w:val="40D212AC"/>
    <w:rsid w:val="43872B46"/>
    <w:rsid w:val="44A2419F"/>
    <w:rsid w:val="4577091D"/>
    <w:rsid w:val="4700503A"/>
    <w:rsid w:val="479E2AD9"/>
    <w:rsid w:val="49B25F0B"/>
    <w:rsid w:val="4D8D2654"/>
    <w:rsid w:val="4DF4262E"/>
    <w:rsid w:val="531703BB"/>
    <w:rsid w:val="53303B6C"/>
    <w:rsid w:val="541E4564"/>
    <w:rsid w:val="54A06FFA"/>
    <w:rsid w:val="55E37DCE"/>
    <w:rsid w:val="58876FEC"/>
    <w:rsid w:val="59AF7469"/>
    <w:rsid w:val="5B5019AB"/>
    <w:rsid w:val="5CBD16D8"/>
    <w:rsid w:val="5E3D3704"/>
    <w:rsid w:val="612015EE"/>
    <w:rsid w:val="61C177B2"/>
    <w:rsid w:val="63C75E32"/>
    <w:rsid w:val="64611CB5"/>
    <w:rsid w:val="648A5852"/>
    <w:rsid w:val="65213802"/>
    <w:rsid w:val="66F615D4"/>
    <w:rsid w:val="67FE478F"/>
    <w:rsid w:val="684410BF"/>
    <w:rsid w:val="68EA0E43"/>
    <w:rsid w:val="6B870A27"/>
    <w:rsid w:val="6E0F2834"/>
    <w:rsid w:val="6E27345A"/>
    <w:rsid w:val="6EA57E17"/>
    <w:rsid w:val="6EFA75AB"/>
    <w:rsid w:val="6F29597B"/>
    <w:rsid w:val="7031391F"/>
    <w:rsid w:val="712E64DE"/>
    <w:rsid w:val="72AA3E7E"/>
    <w:rsid w:val="72D06E5B"/>
    <w:rsid w:val="736130D7"/>
    <w:rsid w:val="7476433D"/>
    <w:rsid w:val="755030A6"/>
    <w:rsid w:val="79B02B8C"/>
    <w:rsid w:val="7EC827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link w:val="5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style>
  <w:style w:type="paragraph" w:styleId="8">
    <w:name w:val="Normal Indent"/>
    <w:basedOn w:val="1"/>
    <w:link w:val="42"/>
    <w:qFormat/>
    <w:uiPriority w:val="0"/>
    <w:pPr>
      <w:widowControl/>
      <w:spacing w:line="360" w:lineRule="auto"/>
      <w:ind w:firstLine="200"/>
      <w:jc w:val="left"/>
    </w:pPr>
    <w:rPr>
      <w:rFonts w:ascii="Times New Roman" w:hAnsi="Times New Roman" w:eastAsia="宋体" w:cs="Times New Roman"/>
      <w:sz w:val="24"/>
      <w:szCs w:val="20"/>
    </w:rPr>
  </w:style>
  <w:style w:type="paragraph" w:styleId="9">
    <w:name w:val="caption"/>
    <w:basedOn w:val="1"/>
    <w:next w:val="1"/>
    <w:link w:val="51"/>
    <w:qFormat/>
    <w:uiPriority w:val="35"/>
    <w:pPr>
      <w:widowControl/>
      <w:spacing w:before="152" w:after="160"/>
      <w:jc w:val="left"/>
    </w:pPr>
    <w:rPr>
      <w:rFonts w:ascii="Arial" w:hAnsi="Arial" w:eastAsia="黑体" w:cs="Arial"/>
      <w:kern w:val="0"/>
      <w:sz w:val="20"/>
      <w:szCs w:val="20"/>
      <w:lang w:eastAsia="en-US" w:bidi="en-US"/>
    </w:rPr>
  </w:style>
  <w:style w:type="paragraph" w:styleId="10">
    <w:name w:val="Document Map"/>
    <w:basedOn w:val="1"/>
    <w:link w:val="58"/>
    <w:semiHidden/>
    <w:unhideWhenUsed/>
    <w:qFormat/>
    <w:uiPriority w:val="99"/>
    <w:rPr>
      <w:rFonts w:ascii="宋体" w:eastAsia="宋体"/>
      <w:sz w:val="18"/>
      <w:szCs w:val="18"/>
    </w:rPr>
  </w:style>
  <w:style w:type="paragraph" w:styleId="11">
    <w:name w:val="Body Text Indent"/>
    <w:basedOn w:val="1"/>
    <w:link w:val="40"/>
    <w:qFormat/>
    <w:uiPriority w:val="0"/>
    <w:pPr>
      <w:ind w:firstLine="830" w:firstLineChars="352"/>
    </w:pPr>
    <w:rPr>
      <w:rFonts w:ascii="仿宋_GB2312" w:eastAsia="仿宋_GB2312"/>
      <w:sz w:val="32"/>
    </w:rPr>
  </w:style>
  <w:style w:type="paragraph" w:styleId="12">
    <w:name w:val="List 2"/>
    <w:basedOn w:val="1"/>
    <w:qFormat/>
    <w:uiPriority w:val="0"/>
    <w:pPr>
      <w:ind w:left="100" w:leftChars="200" w:hanging="200" w:hangingChars="200"/>
    </w:pPr>
    <w:rPr>
      <w:rFonts w:ascii="Calibri" w:hAnsi="Calibri" w:eastAsia="宋体" w:cs="Times New Roman"/>
      <w:sz w:val="28"/>
      <w:szCs w:val="24"/>
    </w:rPr>
  </w:style>
  <w:style w:type="paragraph" w:styleId="13">
    <w:name w:val="toc 5"/>
    <w:basedOn w:val="1"/>
    <w:next w:val="1"/>
    <w:unhideWhenUsed/>
    <w:qFormat/>
    <w:uiPriority w:val="39"/>
    <w:pPr>
      <w:ind w:left="1680" w:leftChars="800"/>
    </w:pPr>
  </w:style>
  <w:style w:type="paragraph" w:styleId="14">
    <w:name w:val="toc 3"/>
    <w:basedOn w:val="1"/>
    <w:next w:val="1"/>
    <w:unhideWhenUsed/>
    <w:qFormat/>
    <w:uiPriority w:val="39"/>
    <w:pPr>
      <w:ind w:left="840" w:leftChars="400"/>
    </w:pPr>
  </w:style>
  <w:style w:type="paragraph" w:styleId="15">
    <w:name w:val="Plain Text"/>
    <w:basedOn w:val="1"/>
    <w:next w:val="5"/>
    <w:link w:val="36"/>
    <w:qFormat/>
    <w:uiPriority w:val="0"/>
    <w:rPr>
      <w:rFonts w:ascii="宋体" w:hAnsi="Courier New" w:eastAsia="宋体" w:cs="Courier New"/>
      <w:szCs w:val="21"/>
    </w:rPr>
  </w:style>
  <w:style w:type="paragraph" w:styleId="16">
    <w:name w:val="toc 8"/>
    <w:basedOn w:val="1"/>
    <w:next w:val="1"/>
    <w:unhideWhenUsed/>
    <w:qFormat/>
    <w:uiPriority w:val="39"/>
    <w:pPr>
      <w:ind w:left="2940" w:leftChars="1400"/>
    </w:pPr>
  </w:style>
  <w:style w:type="paragraph" w:styleId="17">
    <w:name w:val="Date"/>
    <w:basedOn w:val="1"/>
    <w:next w:val="1"/>
    <w:link w:val="34"/>
    <w:semiHidden/>
    <w:unhideWhenUsed/>
    <w:qFormat/>
    <w:uiPriority w:val="99"/>
    <w:pPr>
      <w:ind w:left="100" w:leftChars="2500"/>
    </w:pPr>
  </w:style>
  <w:style w:type="paragraph" w:styleId="18">
    <w:name w:val="Balloon Text"/>
    <w:basedOn w:val="1"/>
    <w:link w:val="38"/>
    <w:semiHidden/>
    <w:unhideWhenUsed/>
    <w:qFormat/>
    <w:uiPriority w:val="99"/>
    <w:rPr>
      <w:sz w:val="18"/>
      <w:szCs w:val="18"/>
    </w:rPr>
  </w:style>
  <w:style w:type="paragraph" w:styleId="19">
    <w:name w:val="footer"/>
    <w:basedOn w:val="1"/>
    <w:link w:val="44"/>
    <w:unhideWhenUsed/>
    <w:qFormat/>
    <w:uiPriority w:val="99"/>
    <w:pPr>
      <w:tabs>
        <w:tab w:val="center" w:pos="4153"/>
        <w:tab w:val="right" w:pos="8306"/>
      </w:tabs>
      <w:snapToGrid w:val="0"/>
      <w:jc w:val="left"/>
    </w:pPr>
    <w:rPr>
      <w:sz w:val="18"/>
      <w:szCs w:val="18"/>
    </w:rPr>
  </w:style>
  <w:style w:type="paragraph" w:styleId="20">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ind w:left="1260" w:leftChars="600"/>
    </w:pPr>
  </w:style>
  <w:style w:type="paragraph" w:styleId="23">
    <w:name w:val="toc 6"/>
    <w:basedOn w:val="1"/>
    <w:next w:val="1"/>
    <w:unhideWhenUsed/>
    <w:qFormat/>
    <w:uiPriority w:val="39"/>
    <w:pPr>
      <w:ind w:left="2100" w:leftChars="1000"/>
    </w:pPr>
  </w:style>
  <w:style w:type="paragraph" w:styleId="24">
    <w:name w:val="toc 2"/>
    <w:basedOn w:val="1"/>
    <w:next w:val="1"/>
    <w:unhideWhenUsed/>
    <w:qFormat/>
    <w:uiPriority w:val="39"/>
    <w:pPr>
      <w:ind w:left="420" w:leftChars="200"/>
    </w:pPr>
  </w:style>
  <w:style w:type="paragraph" w:styleId="25">
    <w:name w:val="toc 9"/>
    <w:basedOn w:val="1"/>
    <w:next w:val="1"/>
    <w:unhideWhenUsed/>
    <w:qFormat/>
    <w:uiPriority w:val="39"/>
    <w:pPr>
      <w:ind w:left="3360" w:leftChars="1600"/>
    </w:pPr>
  </w:style>
  <w:style w:type="table" w:styleId="27">
    <w:name w:val="Table Grid"/>
    <w:basedOn w:val="2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9">
    <w:name w:val="Hyperlink"/>
    <w:basedOn w:val="28"/>
    <w:unhideWhenUsed/>
    <w:qFormat/>
    <w:uiPriority w:val="99"/>
    <w:rPr>
      <w:color w:val="0000FF" w:themeColor="hyperlink"/>
      <w:u w:val="single"/>
      <w14:textFill>
        <w14:solidFill>
          <w14:schemeClr w14:val="hlink"/>
        </w14:solidFill>
      </w14:textFill>
    </w:rPr>
  </w:style>
  <w:style w:type="character" w:customStyle="1" w:styleId="30">
    <w:name w:val="标题 1 Char"/>
    <w:basedOn w:val="28"/>
    <w:link w:val="2"/>
    <w:qFormat/>
    <w:uiPriority w:val="9"/>
    <w:rPr>
      <w:b/>
      <w:bCs/>
      <w:kern w:val="44"/>
      <w:sz w:val="44"/>
      <w:szCs w:val="44"/>
    </w:rPr>
  </w:style>
  <w:style w:type="character" w:customStyle="1" w:styleId="31">
    <w:name w:val="标题 2 Char"/>
    <w:basedOn w:val="28"/>
    <w:link w:val="3"/>
    <w:qFormat/>
    <w:uiPriority w:val="9"/>
    <w:rPr>
      <w:rFonts w:asciiTheme="majorHAnsi" w:hAnsiTheme="majorHAnsi" w:eastAsiaTheme="majorEastAsia" w:cstheme="majorBidi"/>
      <w:b/>
      <w:bCs/>
      <w:sz w:val="32"/>
      <w:szCs w:val="32"/>
    </w:rPr>
  </w:style>
  <w:style w:type="character" w:customStyle="1" w:styleId="32">
    <w:name w:val="标题 3 Char"/>
    <w:basedOn w:val="28"/>
    <w:link w:val="4"/>
    <w:qFormat/>
    <w:uiPriority w:val="9"/>
    <w:rPr>
      <w:b/>
      <w:bCs/>
      <w:sz w:val="32"/>
      <w:szCs w:val="32"/>
    </w:rPr>
  </w:style>
  <w:style w:type="character" w:customStyle="1" w:styleId="33">
    <w:name w:val="标题 4 Char"/>
    <w:basedOn w:val="28"/>
    <w:link w:val="5"/>
    <w:semiHidden/>
    <w:qFormat/>
    <w:uiPriority w:val="9"/>
    <w:rPr>
      <w:rFonts w:asciiTheme="majorHAnsi" w:hAnsiTheme="majorHAnsi" w:eastAsiaTheme="majorEastAsia" w:cstheme="majorBidi"/>
      <w:b/>
      <w:bCs/>
      <w:sz w:val="28"/>
      <w:szCs w:val="28"/>
    </w:rPr>
  </w:style>
  <w:style w:type="character" w:customStyle="1" w:styleId="34">
    <w:name w:val="日期 Char"/>
    <w:basedOn w:val="28"/>
    <w:link w:val="17"/>
    <w:semiHidden/>
    <w:qFormat/>
    <w:uiPriority w:val="99"/>
  </w:style>
  <w:style w:type="character" w:customStyle="1" w:styleId="35">
    <w:name w:val="纯文本 Char"/>
    <w:link w:val="15"/>
    <w:qFormat/>
    <w:uiPriority w:val="0"/>
    <w:rPr>
      <w:rFonts w:ascii="宋体" w:hAnsi="Courier New" w:eastAsia="宋体" w:cs="Courier New"/>
      <w:szCs w:val="21"/>
    </w:rPr>
  </w:style>
  <w:style w:type="character" w:customStyle="1" w:styleId="36">
    <w:name w:val="纯文本 Char1"/>
    <w:basedOn w:val="28"/>
    <w:link w:val="15"/>
    <w:qFormat/>
    <w:uiPriority w:val="0"/>
    <w:rPr>
      <w:rFonts w:ascii="宋体" w:hAnsi="Courier New" w:eastAsia="宋体" w:cs="Courier New"/>
      <w:szCs w:val="21"/>
    </w:rPr>
  </w:style>
  <w:style w:type="paragraph" w:customStyle="1" w:styleId="37">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8">
    <w:name w:val="批注框文本 Char"/>
    <w:basedOn w:val="28"/>
    <w:link w:val="18"/>
    <w:semiHidden/>
    <w:qFormat/>
    <w:uiPriority w:val="99"/>
    <w:rPr>
      <w:sz w:val="18"/>
      <w:szCs w:val="18"/>
    </w:rPr>
  </w:style>
  <w:style w:type="character" w:customStyle="1" w:styleId="39">
    <w:name w:val="正文文本缩进 Char"/>
    <w:link w:val="11"/>
    <w:qFormat/>
    <w:uiPriority w:val="0"/>
    <w:rPr>
      <w:rFonts w:ascii="仿宋_GB2312" w:eastAsia="仿宋_GB2312"/>
      <w:sz w:val="32"/>
    </w:rPr>
  </w:style>
  <w:style w:type="character" w:customStyle="1" w:styleId="40">
    <w:name w:val="正文文本缩进 Char1"/>
    <w:basedOn w:val="28"/>
    <w:link w:val="11"/>
    <w:semiHidden/>
    <w:qFormat/>
    <w:uiPriority w:val="99"/>
  </w:style>
  <w:style w:type="paragraph" w:customStyle="1" w:styleId="41">
    <w:name w:val="默认段落字体 Para Char Char Char Char Char Char Char Char Char1 Char Char Char Char"/>
    <w:basedOn w:val="1"/>
    <w:qFormat/>
    <w:uiPriority w:val="0"/>
    <w:rPr>
      <w:rFonts w:ascii="Tahoma" w:hAnsi="Tahoma" w:eastAsia="宋体" w:cs="Times New Roman"/>
      <w:sz w:val="24"/>
      <w:szCs w:val="20"/>
    </w:rPr>
  </w:style>
  <w:style w:type="character" w:customStyle="1" w:styleId="42">
    <w:name w:val="正文缩进 Char"/>
    <w:link w:val="8"/>
    <w:qFormat/>
    <w:uiPriority w:val="0"/>
    <w:rPr>
      <w:rFonts w:ascii="Times New Roman" w:hAnsi="Times New Roman" w:eastAsia="宋体" w:cs="Times New Roman"/>
      <w:sz w:val="24"/>
      <w:szCs w:val="20"/>
    </w:rPr>
  </w:style>
  <w:style w:type="character" w:customStyle="1" w:styleId="43">
    <w:name w:val="页眉 Char"/>
    <w:basedOn w:val="28"/>
    <w:link w:val="20"/>
    <w:qFormat/>
    <w:uiPriority w:val="99"/>
    <w:rPr>
      <w:sz w:val="18"/>
      <w:szCs w:val="18"/>
    </w:rPr>
  </w:style>
  <w:style w:type="character" w:customStyle="1" w:styleId="44">
    <w:name w:val="页脚 Char"/>
    <w:basedOn w:val="28"/>
    <w:link w:val="19"/>
    <w:qFormat/>
    <w:uiPriority w:val="99"/>
    <w:rPr>
      <w:sz w:val="18"/>
      <w:szCs w:val="18"/>
    </w:rPr>
  </w:style>
  <w:style w:type="paragraph" w:customStyle="1" w:styleId="45">
    <w:name w:val="列出段落2"/>
    <w:basedOn w:val="1"/>
    <w:link w:val="46"/>
    <w:qFormat/>
    <w:uiPriority w:val="34"/>
    <w:pPr>
      <w:widowControl/>
      <w:ind w:left="720"/>
      <w:contextualSpacing/>
      <w:jc w:val="left"/>
    </w:pPr>
    <w:rPr>
      <w:rFonts w:ascii="Calibri" w:hAnsi="Calibri" w:eastAsia="宋体" w:cs="Times New Roman"/>
      <w:kern w:val="0"/>
      <w:sz w:val="24"/>
      <w:szCs w:val="24"/>
      <w:lang w:eastAsia="en-US"/>
    </w:rPr>
  </w:style>
  <w:style w:type="character" w:customStyle="1" w:styleId="46">
    <w:name w:val="列出段落 字符"/>
    <w:link w:val="45"/>
    <w:qFormat/>
    <w:uiPriority w:val="34"/>
    <w:rPr>
      <w:rFonts w:ascii="Calibri" w:hAnsi="Calibri" w:eastAsia="宋体" w:cs="Times New Roman"/>
      <w:kern w:val="0"/>
      <w:sz w:val="24"/>
      <w:szCs w:val="24"/>
      <w:lang w:eastAsia="en-US"/>
    </w:rPr>
  </w:style>
  <w:style w:type="paragraph" w:styleId="47">
    <w:name w:val="List Paragraph"/>
    <w:basedOn w:val="1"/>
    <w:link w:val="48"/>
    <w:qFormat/>
    <w:uiPriority w:val="34"/>
    <w:pPr>
      <w:ind w:firstLine="420" w:firstLineChars="200"/>
    </w:pPr>
    <w:rPr>
      <w:rFonts w:ascii="仿宋_GB2312" w:hAnsi="Times New Roman" w:eastAsia="仿宋_GB2312" w:cs="Times New Roman"/>
      <w:b/>
      <w:sz w:val="28"/>
      <w:szCs w:val="24"/>
    </w:rPr>
  </w:style>
  <w:style w:type="character" w:customStyle="1" w:styleId="48">
    <w:name w:val="列出段落 Char"/>
    <w:link w:val="47"/>
    <w:qFormat/>
    <w:uiPriority w:val="34"/>
    <w:rPr>
      <w:rFonts w:ascii="仿宋_GB2312" w:hAnsi="Times New Roman" w:eastAsia="仿宋_GB2312" w:cs="Times New Roman"/>
      <w:b/>
      <w:sz w:val="28"/>
      <w:szCs w:val="24"/>
    </w:rPr>
  </w:style>
  <w:style w:type="character" w:customStyle="1" w:styleId="49">
    <w:name w:val="apple-converted-space"/>
    <w:basedOn w:val="28"/>
    <w:qFormat/>
    <w:uiPriority w:val="0"/>
  </w:style>
  <w:style w:type="character" w:customStyle="1" w:styleId="50">
    <w:name w:val="标题 6 Char"/>
    <w:basedOn w:val="28"/>
    <w:link w:val="6"/>
    <w:semiHidden/>
    <w:qFormat/>
    <w:uiPriority w:val="9"/>
    <w:rPr>
      <w:rFonts w:asciiTheme="majorHAnsi" w:hAnsiTheme="majorHAnsi" w:eastAsiaTheme="majorEastAsia" w:cstheme="majorBidi"/>
      <w:b/>
      <w:bCs/>
      <w:sz w:val="24"/>
      <w:szCs w:val="24"/>
    </w:rPr>
  </w:style>
  <w:style w:type="character" w:customStyle="1" w:styleId="51">
    <w:name w:val="题注 Char"/>
    <w:link w:val="9"/>
    <w:qFormat/>
    <w:uiPriority w:val="35"/>
    <w:rPr>
      <w:rFonts w:ascii="Arial" w:hAnsi="Arial" w:eastAsia="黑体" w:cs="Arial"/>
      <w:kern w:val="0"/>
      <w:sz w:val="20"/>
      <w:szCs w:val="20"/>
      <w:lang w:eastAsia="en-US" w:bidi="en-US"/>
    </w:rPr>
  </w:style>
  <w:style w:type="paragraph" w:customStyle="1" w:styleId="52">
    <w:name w:val="报告正文"/>
    <w:basedOn w:val="1"/>
    <w:link w:val="53"/>
    <w:qFormat/>
    <w:uiPriority w:val="0"/>
    <w:pPr>
      <w:widowControl/>
      <w:overflowPunct w:val="0"/>
      <w:autoSpaceDE w:val="0"/>
      <w:autoSpaceDN w:val="0"/>
      <w:adjustRightInd w:val="0"/>
      <w:spacing w:before="24" w:after="72" w:line="360" w:lineRule="auto"/>
      <w:textAlignment w:val="baseline"/>
    </w:pPr>
    <w:rPr>
      <w:rFonts w:ascii="宋体" w:hAnsi="宋体" w:eastAsia="宋体" w:cs="Times New Roman"/>
      <w:kern w:val="0"/>
      <w:szCs w:val="21"/>
    </w:rPr>
  </w:style>
  <w:style w:type="character" w:customStyle="1" w:styleId="53">
    <w:name w:val="报告正文 Char"/>
    <w:basedOn w:val="28"/>
    <w:link w:val="52"/>
    <w:qFormat/>
    <w:uiPriority w:val="0"/>
    <w:rPr>
      <w:rFonts w:ascii="宋体" w:hAnsi="宋体" w:eastAsia="宋体" w:cs="Times New Roman"/>
      <w:kern w:val="0"/>
      <w:szCs w:val="21"/>
    </w:rPr>
  </w:style>
  <w:style w:type="paragraph" w:customStyle="1" w:styleId="54">
    <w:name w:val="方案正文"/>
    <w:basedOn w:val="1"/>
    <w:link w:val="55"/>
    <w:qFormat/>
    <w:uiPriority w:val="0"/>
    <w:pPr>
      <w:widowControl/>
      <w:spacing w:line="360" w:lineRule="auto"/>
      <w:ind w:firstLine="420"/>
      <w:jc w:val="left"/>
    </w:pPr>
    <w:rPr>
      <w:rFonts w:ascii="宋体" w:hAnsi="宋体" w:eastAsia="宋体" w:cs="Times New Roman"/>
      <w:kern w:val="0"/>
      <w:sz w:val="20"/>
      <w:szCs w:val="21"/>
      <w:lang w:eastAsia="en-US"/>
    </w:rPr>
  </w:style>
  <w:style w:type="character" w:customStyle="1" w:styleId="55">
    <w:name w:val="方案正文 Char Char"/>
    <w:link w:val="54"/>
    <w:qFormat/>
    <w:uiPriority w:val="0"/>
    <w:rPr>
      <w:rFonts w:ascii="宋体" w:hAnsi="宋体" w:eastAsia="宋体" w:cs="Times New Roman"/>
      <w:kern w:val="0"/>
      <w:sz w:val="20"/>
      <w:szCs w:val="21"/>
      <w:lang w:eastAsia="en-US"/>
    </w:rPr>
  </w:style>
  <w:style w:type="character" w:customStyle="1" w:styleId="56">
    <w:name w:val="方案正文 Char"/>
    <w:qFormat/>
    <w:uiPriority w:val="0"/>
    <w:rPr>
      <w:rFonts w:ascii="宋体" w:hAnsi="宋体" w:eastAsia="宋体" w:cs="宋体"/>
      <w:kern w:val="0"/>
      <w:sz w:val="24"/>
      <w:szCs w:val="20"/>
    </w:rPr>
  </w:style>
  <w:style w:type="character" w:customStyle="1" w:styleId="57">
    <w:name w:val="description"/>
    <w:basedOn w:val="28"/>
    <w:qFormat/>
    <w:uiPriority w:val="0"/>
  </w:style>
  <w:style w:type="character" w:customStyle="1" w:styleId="58">
    <w:name w:val="文档结构图 Char"/>
    <w:basedOn w:val="28"/>
    <w:link w:val="10"/>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104AB5C-7729-4A42-B7B7-1D87A335101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911</Words>
  <Characters>998</Characters>
  <Lines>7</Lines>
  <Paragraphs>2</Paragraphs>
  <TotalTime>192</TotalTime>
  <ScaleCrop>false</ScaleCrop>
  <LinksUpToDate>false</LinksUpToDate>
  <CharactersWithSpaces>1008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2019-03-29T03:19:00Z</dcterms:created>
  <dc:creator>广西公司\南宁分公司\客户服务中心-肖炜东</dc:creator>
  <cp:lastModifiedBy>晏</cp:lastModifiedBy>
  <cp:lastPrinted>2022-12-28T06:47:00Z</cp:lastPrinted>
  <dcterms:modified xsi:type="dcterms:W3CDTF">2025-03-13T04:01:14Z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5A5FD9F5B52840C2B5E598EDF21FB14C_13</vt:lpwstr>
  </property>
  <property fmtid="{D5CDD505-2E9C-101B-9397-08002B2CF9AE}" pid="4" name="KSOTemplateDocerSaveRecord">
    <vt:lpwstr>eyJoZGlkIjoiNWY0M2YxMDg4ZTBkZWFjNDJmNmVlYmIzNzQ5OTczYTkiLCJ1c2VySWQiOiI2Mjc5MTU0MjcifQ==</vt:lpwstr>
  </property>
</Properties>
</file>