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C4" w:rsidRPr="005D1009" w:rsidRDefault="00B30DC4" w:rsidP="00B30DC4">
      <w:pPr>
        <w:jc w:val="left"/>
        <w:rPr>
          <w:rFonts w:ascii="仿宋" w:eastAsia="仿宋" w:hAnsi="仿宋"/>
          <w:b/>
          <w:sz w:val="32"/>
          <w:szCs w:val="32"/>
        </w:rPr>
      </w:pPr>
      <w:r w:rsidRPr="005D1009">
        <w:rPr>
          <w:rFonts w:ascii="仿宋" w:eastAsia="仿宋" w:hAnsi="仿宋" w:hint="eastAsia"/>
          <w:b/>
          <w:sz w:val="32"/>
          <w:szCs w:val="32"/>
        </w:rPr>
        <w:t>附件：</w:t>
      </w:r>
    </w:p>
    <w:p w:rsidR="00B149E2" w:rsidRPr="005D1009" w:rsidRDefault="00CB5C63" w:rsidP="00B149E2">
      <w:pPr>
        <w:jc w:val="center"/>
        <w:rPr>
          <w:rFonts w:ascii="仿宋" w:eastAsia="仿宋" w:hAnsi="仿宋"/>
          <w:b/>
          <w:sz w:val="32"/>
          <w:szCs w:val="32"/>
        </w:rPr>
      </w:pPr>
      <w:r w:rsidRPr="005D1009">
        <w:rPr>
          <w:rFonts w:ascii="仿宋" w:eastAsia="仿宋" w:hAnsi="仿宋" w:hint="eastAsia"/>
          <w:b/>
          <w:sz w:val="32"/>
          <w:szCs w:val="32"/>
        </w:rPr>
        <w:t>门急诊内科综合楼工程调整概算编制服务</w:t>
      </w:r>
      <w:r w:rsidR="00B30DC4" w:rsidRPr="005D1009">
        <w:rPr>
          <w:rFonts w:ascii="仿宋" w:eastAsia="仿宋" w:hAnsi="仿宋" w:hint="eastAsia"/>
          <w:b/>
          <w:sz w:val="32"/>
          <w:szCs w:val="32"/>
        </w:rPr>
        <w:t>采购需求</w:t>
      </w:r>
    </w:p>
    <w:tbl>
      <w:tblPr>
        <w:tblStyle w:val="a4"/>
        <w:tblW w:w="5163" w:type="pct"/>
        <w:tblInd w:w="-289" w:type="dxa"/>
        <w:tblLayout w:type="fixed"/>
        <w:tblLook w:val="04A0" w:firstRow="1" w:lastRow="0" w:firstColumn="1" w:lastColumn="0" w:noHBand="0" w:noVBand="1"/>
      </w:tblPr>
      <w:tblGrid>
        <w:gridCol w:w="1278"/>
        <w:gridCol w:w="707"/>
        <w:gridCol w:w="5815"/>
        <w:gridCol w:w="1555"/>
      </w:tblGrid>
      <w:tr w:rsidR="006D1C6E" w:rsidRPr="00D9003B" w:rsidTr="006D1C6E">
        <w:trPr>
          <w:trHeight w:val="583"/>
        </w:trPr>
        <w:tc>
          <w:tcPr>
            <w:tcW w:w="683" w:type="pct"/>
            <w:vAlign w:val="center"/>
          </w:tcPr>
          <w:p w:rsidR="006D1C6E" w:rsidRPr="00D9003B" w:rsidRDefault="006D1C6E" w:rsidP="00B30DC4">
            <w:pPr>
              <w:jc w:val="center"/>
              <w:rPr>
                <w:rFonts w:ascii="仿宋" w:eastAsia="仿宋" w:hAnsi="仿宋"/>
                <w:sz w:val="24"/>
                <w:szCs w:val="24"/>
              </w:rPr>
            </w:pPr>
            <w:r w:rsidRPr="00D9003B">
              <w:rPr>
                <w:rFonts w:ascii="仿宋" w:eastAsia="仿宋" w:hAnsi="仿宋" w:hint="eastAsia"/>
                <w:sz w:val="24"/>
                <w:szCs w:val="24"/>
              </w:rPr>
              <w:t>项目名称</w:t>
            </w:r>
          </w:p>
        </w:tc>
        <w:tc>
          <w:tcPr>
            <w:tcW w:w="378" w:type="pct"/>
            <w:vAlign w:val="center"/>
          </w:tcPr>
          <w:p w:rsidR="006D1C6E" w:rsidRPr="00D9003B" w:rsidRDefault="006D1C6E" w:rsidP="00B30DC4">
            <w:pPr>
              <w:jc w:val="center"/>
              <w:rPr>
                <w:rFonts w:ascii="仿宋" w:eastAsia="仿宋" w:hAnsi="仿宋"/>
                <w:sz w:val="24"/>
                <w:szCs w:val="24"/>
              </w:rPr>
            </w:pPr>
            <w:r w:rsidRPr="00D9003B">
              <w:rPr>
                <w:rFonts w:ascii="仿宋" w:eastAsia="仿宋" w:hAnsi="仿宋" w:hint="eastAsia"/>
                <w:sz w:val="24"/>
                <w:szCs w:val="24"/>
              </w:rPr>
              <w:t>项目要求</w:t>
            </w:r>
          </w:p>
        </w:tc>
        <w:tc>
          <w:tcPr>
            <w:tcW w:w="3108" w:type="pct"/>
            <w:vAlign w:val="center"/>
          </w:tcPr>
          <w:p w:rsidR="006D1C6E" w:rsidRPr="00D9003B" w:rsidRDefault="006D1C6E" w:rsidP="00B30DC4">
            <w:pPr>
              <w:jc w:val="center"/>
              <w:rPr>
                <w:rFonts w:ascii="仿宋" w:eastAsia="仿宋" w:hAnsi="仿宋"/>
                <w:sz w:val="24"/>
                <w:szCs w:val="24"/>
              </w:rPr>
            </w:pPr>
            <w:r w:rsidRPr="00D9003B">
              <w:rPr>
                <w:rFonts w:ascii="仿宋" w:eastAsia="仿宋" w:hAnsi="仿宋" w:hint="eastAsia"/>
                <w:sz w:val="24"/>
                <w:szCs w:val="24"/>
              </w:rPr>
              <w:t>项目</w:t>
            </w:r>
            <w:r>
              <w:rPr>
                <w:rFonts w:ascii="仿宋" w:eastAsia="仿宋" w:hAnsi="仿宋" w:hint="eastAsia"/>
                <w:sz w:val="24"/>
                <w:szCs w:val="24"/>
              </w:rPr>
              <w:t>内容</w:t>
            </w:r>
          </w:p>
        </w:tc>
        <w:tc>
          <w:tcPr>
            <w:tcW w:w="831" w:type="pct"/>
            <w:vAlign w:val="center"/>
          </w:tcPr>
          <w:p w:rsidR="006D1C6E" w:rsidRPr="00D9003B" w:rsidRDefault="006D1C6E" w:rsidP="00B30DC4">
            <w:pPr>
              <w:jc w:val="center"/>
              <w:rPr>
                <w:rFonts w:ascii="仿宋" w:eastAsia="仿宋" w:hAnsi="仿宋"/>
                <w:sz w:val="24"/>
                <w:szCs w:val="24"/>
              </w:rPr>
            </w:pPr>
            <w:r>
              <w:rPr>
                <w:rFonts w:ascii="仿宋" w:eastAsia="仿宋" w:hAnsi="仿宋" w:hint="eastAsia"/>
                <w:sz w:val="24"/>
                <w:szCs w:val="24"/>
              </w:rPr>
              <w:t>最高限价</w:t>
            </w:r>
          </w:p>
        </w:tc>
      </w:tr>
      <w:tr w:rsidR="006D1C6E" w:rsidRPr="00D9003B" w:rsidTr="006D1C6E">
        <w:trPr>
          <w:trHeight w:val="6146"/>
        </w:trPr>
        <w:tc>
          <w:tcPr>
            <w:tcW w:w="683" w:type="pct"/>
            <w:vMerge w:val="restart"/>
            <w:vAlign w:val="center"/>
          </w:tcPr>
          <w:p w:rsidR="006D1C6E" w:rsidRPr="00D9003B" w:rsidRDefault="006D1C6E" w:rsidP="00B30DC4">
            <w:pPr>
              <w:spacing w:line="360" w:lineRule="auto"/>
              <w:jc w:val="center"/>
              <w:rPr>
                <w:rFonts w:ascii="仿宋" w:eastAsia="仿宋" w:hAnsi="仿宋"/>
                <w:sz w:val="24"/>
                <w:szCs w:val="24"/>
              </w:rPr>
            </w:pPr>
            <w:r w:rsidRPr="00D9003B">
              <w:rPr>
                <w:rFonts w:ascii="仿宋" w:eastAsia="仿宋" w:hAnsi="仿宋" w:hint="eastAsia"/>
                <w:sz w:val="24"/>
                <w:szCs w:val="24"/>
              </w:rPr>
              <w:t>南宁市第二人民医院门急诊内科综合楼工程调整概算编制服务</w:t>
            </w:r>
          </w:p>
        </w:tc>
        <w:tc>
          <w:tcPr>
            <w:tcW w:w="378" w:type="pct"/>
            <w:vAlign w:val="center"/>
          </w:tcPr>
          <w:p w:rsidR="006D1C6E" w:rsidRPr="00D9003B" w:rsidRDefault="006D1C6E" w:rsidP="00B30DC4">
            <w:pPr>
              <w:snapToGrid w:val="0"/>
              <w:spacing w:line="360" w:lineRule="exact"/>
              <w:jc w:val="center"/>
              <w:rPr>
                <w:rFonts w:ascii="仿宋" w:eastAsia="仿宋" w:hAnsi="仿宋" w:cs="仿宋"/>
                <w:color w:val="000000"/>
                <w:sz w:val="24"/>
                <w:szCs w:val="24"/>
              </w:rPr>
            </w:pPr>
            <w:r w:rsidRPr="00D9003B">
              <w:rPr>
                <w:rFonts w:ascii="仿宋" w:eastAsia="仿宋" w:hAnsi="仿宋" w:cs="仿宋" w:hint="eastAsia"/>
                <w:color w:val="000000"/>
                <w:sz w:val="24"/>
                <w:szCs w:val="24"/>
              </w:rPr>
              <w:t>服务</w:t>
            </w:r>
          </w:p>
          <w:p w:rsidR="006D1C6E" w:rsidRPr="00D9003B" w:rsidRDefault="006D1C6E" w:rsidP="00B30DC4">
            <w:pPr>
              <w:spacing w:line="360" w:lineRule="auto"/>
              <w:jc w:val="center"/>
              <w:rPr>
                <w:rFonts w:ascii="仿宋" w:eastAsia="仿宋" w:hAnsi="仿宋"/>
                <w:sz w:val="24"/>
                <w:szCs w:val="24"/>
              </w:rPr>
            </w:pPr>
            <w:r w:rsidRPr="00D9003B">
              <w:rPr>
                <w:rFonts w:ascii="仿宋" w:eastAsia="仿宋" w:hAnsi="仿宋" w:cs="仿宋" w:hint="eastAsia"/>
                <w:color w:val="000000"/>
                <w:sz w:val="24"/>
                <w:szCs w:val="24"/>
              </w:rPr>
              <w:t>要求</w:t>
            </w:r>
          </w:p>
        </w:tc>
        <w:tc>
          <w:tcPr>
            <w:tcW w:w="3108" w:type="pct"/>
            <w:vAlign w:val="center"/>
          </w:tcPr>
          <w:p w:rsidR="006D1C6E" w:rsidRDefault="006D1C6E" w:rsidP="006D1C6E">
            <w:pPr>
              <w:spacing w:line="360" w:lineRule="auto"/>
              <w:rPr>
                <w:rFonts w:ascii="仿宋" w:eastAsia="仿宋" w:hAnsi="仿宋"/>
                <w:sz w:val="24"/>
                <w:szCs w:val="24"/>
              </w:rPr>
            </w:pPr>
            <w:r>
              <w:rPr>
                <w:rFonts w:ascii="仿宋" w:eastAsia="仿宋" w:hAnsi="仿宋"/>
                <w:sz w:val="24"/>
                <w:szCs w:val="24"/>
              </w:rPr>
              <w:t>一、项目概况：</w:t>
            </w:r>
            <w:r w:rsidRPr="00D9003B">
              <w:rPr>
                <w:rFonts w:ascii="仿宋" w:eastAsia="仿宋" w:hAnsi="仿宋" w:hint="eastAsia"/>
                <w:sz w:val="24"/>
                <w:szCs w:val="24"/>
              </w:rPr>
              <w:t>南宁市第二人民医院门急诊内科综合楼工程位于南宁市江南区五一路12号，建设内容包含基坑、地下室、主体建设和装修等，总投资64468.63万元。</w:t>
            </w:r>
          </w:p>
          <w:p w:rsidR="006D1C6E" w:rsidRPr="00D9003B" w:rsidRDefault="006D1C6E" w:rsidP="006D1C6E">
            <w:pPr>
              <w:spacing w:line="360" w:lineRule="auto"/>
              <w:rPr>
                <w:rFonts w:ascii="仿宋" w:eastAsia="仿宋" w:hAnsi="仿宋"/>
                <w:sz w:val="24"/>
                <w:szCs w:val="24"/>
              </w:rPr>
            </w:pPr>
            <w:r>
              <w:rPr>
                <w:rFonts w:ascii="仿宋" w:eastAsia="仿宋" w:hAnsi="仿宋"/>
                <w:sz w:val="24"/>
                <w:szCs w:val="24"/>
              </w:rPr>
              <w:t>二、项目需求：</w:t>
            </w:r>
            <w:r w:rsidRPr="00D9003B">
              <w:rPr>
                <w:rFonts w:ascii="仿宋" w:eastAsia="仿宋" w:hAnsi="仿宋" w:hint="eastAsia"/>
                <w:sz w:val="24"/>
                <w:szCs w:val="24"/>
              </w:rPr>
              <w:t>根据自治区住房城乡建设厅关于印发《广西壮族自治区房屋建筑和市政基础设施建设项目调整概算编制办法》的通知（桂建标〔2022】1号〕，国家和地方规定的技术规范、标准进行调整概算报告编制，并协助详细汇报相关概算调整报告的内容及解答评审组问题，根据委托人、各级主管部门、各级审批部门、审查小组的评审意见修改、补充和完善调整概算报告，确保调整概算报告通过审查，并取得审批部门对本项目的调整概算报告的备案和批复。完成成果应能达到委托人主管部门备案、行政审批通过等要求。</w:t>
            </w:r>
          </w:p>
        </w:tc>
        <w:tc>
          <w:tcPr>
            <w:tcW w:w="831" w:type="pct"/>
            <w:vMerge w:val="restart"/>
            <w:vAlign w:val="center"/>
          </w:tcPr>
          <w:p w:rsidR="006D1C6E" w:rsidRPr="00D9003B" w:rsidRDefault="006D1C6E" w:rsidP="00B30DC4">
            <w:pPr>
              <w:spacing w:line="360" w:lineRule="auto"/>
              <w:jc w:val="center"/>
              <w:rPr>
                <w:rFonts w:ascii="仿宋" w:eastAsia="仿宋" w:hAnsi="仿宋"/>
                <w:sz w:val="24"/>
                <w:szCs w:val="24"/>
              </w:rPr>
            </w:pPr>
            <w:r w:rsidRPr="00D9003B">
              <w:rPr>
                <w:rFonts w:ascii="仿宋" w:eastAsia="仿宋" w:hAnsi="仿宋" w:hint="eastAsia"/>
                <w:sz w:val="24"/>
                <w:szCs w:val="24"/>
              </w:rPr>
              <w:t>9</w:t>
            </w:r>
            <w:r w:rsidRPr="00D9003B">
              <w:rPr>
                <w:rFonts w:ascii="仿宋" w:eastAsia="仿宋" w:hAnsi="仿宋"/>
                <w:sz w:val="24"/>
                <w:szCs w:val="24"/>
              </w:rPr>
              <w:t>9600.00元</w:t>
            </w:r>
          </w:p>
        </w:tc>
      </w:tr>
      <w:tr w:rsidR="006D1C6E" w:rsidRPr="00D9003B" w:rsidTr="006D1C6E">
        <w:tc>
          <w:tcPr>
            <w:tcW w:w="683" w:type="pct"/>
            <w:vMerge/>
            <w:vAlign w:val="center"/>
          </w:tcPr>
          <w:p w:rsidR="006D1C6E" w:rsidRPr="00D9003B" w:rsidRDefault="006D1C6E" w:rsidP="00B30DC4">
            <w:pPr>
              <w:spacing w:line="360" w:lineRule="auto"/>
              <w:jc w:val="center"/>
              <w:rPr>
                <w:rFonts w:asciiTheme="minorEastAsia" w:hAnsiTheme="minorEastAsia"/>
                <w:sz w:val="24"/>
                <w:szCs w:val="24"/>
              </w:rPr>
            </w:pPr>
          </w:p>
        </w:tc>
        <w:tc>
          <w:tcPr>
            <w:tcW w:w="378" w:type="pct"/>
            <w:vAlign w:val="center"/>
          </w:tcPr>
          <w:p w:rsidR="006D1C6E" w:rsidRPr="00D9003B" w:rsidRDefault="006D1C6E" w:rsidP="00B30DC4">
            <w:pPr>
              <w:snapToGrid w:val="0"/>
              <w:spacing w:line="360" w:lineRule="exact"/>
              <w:jc w:val="center"/>
              <w:rPr>
                <w:rFonts w:ascii="仿宋" w:eastAsia="仿宋" w:hAnsi="仿宋" w:cs="仿宋"/>
                <w:color w:val="000000"/>
                <w:sz w:val="24"/>
                <w:szCs w:val="24"/>
              </w:rPr>
            </w:pPr>
            <w:r w:rsidRPr="00D9003B">
              <w:rPr>
                <w:rFonts w:ascii="仿宋" w:eastAsia="仿宋" w:hAnsi="仿宋" w:cs="仿宋" w:hint="eastAsia"/>
                <w:color w:val="000000"/>
                <w:sz w:val="24"/>
                <w:szCs w:val="24"/>
              </w:rPr>
              <w:t>商务</w:t>
            </w:r>
          </w:p>
          <w:p w:rsidR="006D1C6E" w:rsidRPr="00D9003B" w:rsidRDefault="006D1C6E" w:rsidP="00B30DC4">
            <w:pPr>
              <w:snapToGrid w:val="0"/>
              <w:spacing w:line="360" w:lineRule="exact"/>
              <w:jc w:val="center"/>
              <w:rPr>
                <w:rFonts w:ascii="仿宋" w:eastAsia="仿宋" w:hAnsi="仿宋" w:cs="仿宋"/>
                <w:color w:val="000000"/>
                <w:sz w:val="24"/>
                <w:szCs w:val="24"/>
              </w:rPr>
            </w:pPr>
            <w:r w:rsidRPr="00D9003B">
              <w:rPr>
                <w:rFonts w:ascii="仿宋" w:eastAsia="仿宋" w:hAnsi="仿宋" w:cs="仿宋" w:hint="eastAsia"/>
                <w:color w:val="000000"/>
                <w:sz w:val="24"/>
                <w:szCs w:val="24"/>
              </w:rPr>
              <w:t>要求</w:t>
            </w:r>
          </w:p>
        </w:tc>
        <w:tc>
          <w:tcPr>
            <w:tcW w:w="3108" w:type="pct"/>
            <w:vAlign w:val="center"/>
          </w:tcPr>
          <w:p w:rsidR="006D1C6E" w:rsidRPr="00D9003B" w:rsidRDefault="006D1C6E" w:rsidP="00D9003B">
            <w:pPr>
              <w:spacing w:line="360" w:lineRule="auto"/>
              <w:rPr>
                <w:rFonts w:ascii="仿宋" w:eastAsia="仿宋" w:hAnsi="仿宋"/>
                <w:sz w:val="24"/>
                <w:szCs w:val="24"/>
              </w:rPr>
            </w:pPr>
            <w:r w:rsidRPr="00D9003B">
              <w:rPr>
                <w:rFonts w:ascii="仿宋" w:eastAsia="仿宋" w:hAnsi="仿宋" w:hint="eastAsia"/>
                <w:sz w:val="24"/>
                <w:szCs w:val="24"/>
              </w:rPr>
              <w:t>一、服务实施方案须注明项目完成时间；</w:t>
            </w:r>
          </w:p>
          <w:p w:rsidR="006D1C6E" w:rsidRPr="00D9003B" w:rsidRDefault="006D1C6E" w:rsidP="00D9003B">
            <w:pPr>
              <w:spacing w:line="360" w:lineRule="auto"/>
              <w:rPr>
                <w:rFonts w:ascii="仿宋" w:eastAsia="仿宋" w:hAnsi="仿宋"/>
                <w:sz w:val="24"/>
                <w:szCs w:val="24"/>
              </w:rPr>
            </w:pPr>
            <w:r w:rsidRPr="00D9003B">
              <w:rPr>
                <w:rFonts w:ascii="仿宋" w:eastAsia="仿宋" w:hAnsi="仿宋" w:hint="eastAsia"/>
                <w:sz w:val="24"/>
                <w:szCs w:val="24"/>
              </w:rPr>
              <w:t>二、质量保证方案须列明质量保障措施质量、质量保证期（按行业规定）等；</w:t>
            </w:r>
          </w:p>
          <w:p w:rsidR="006D1C6E" w:rsidRPr="00D9003B" w:rsidRDefault="006D1C6E" w:rsidP="00D9003B">
            <w:pPr>
              <w:spacing w:line="360" w:lineRule="exact"/>
              <w:rPr>
                <w:rFonts w:ascii="仿宋" w:eastAsia="仿宋" w:hAnsi="仿宋"/>
                <w:sz w:val="24"/>
                <w:szCs w:val="24"/>
              </w:rPr>
            </w:pPr>
            <w:r w:rsidRPr="00D9003B">
              <w:rPr>
                <w:rFonts w:ascii="仿宋" w:eastAsia="仿宋" w:hAnsi="仿宋" w:hint="eastAsia"/>
                <w:sz w:val="24"/>
                <w:szCs w:val="24"/>
              </w:rPr>
              <w:t>三、售后服务方案须列明售后服务措施、服务响应时间、协助医院后续审查情况等；</w:t>
            </w:r>
          </w:p>
          <w:p w:rsidR="006D1C6E" w:rsidRDefault="006D1C6E" w:rsidP="00D9003B">
            <w:pPr>
              <w:spacing w:line="360" w:lineRule="auto"/>
              <w:rPr>
                <w:rFonts w:ascii="仿宋" w:eastAsia="仿宋" w:hAnsi="仿宋"/>
                <w:sz w:val="24"/>
                <w:szCs w:val="24"/>
              </w:rPr>
            </w:pPr>
            <w:r w:rsidRPr="00D9003B">
              <w:rPr>
                <w:rFonts w:ascii="仿宋" w:eastAsia="仿宋" w:hAnsi="仿宋" w:hint="eastAsia"/>
                <w:sz w:val="24"/>
                <w:szCs w:val="24"/>
              </w:rPr>
              <w:t>四、本项目不接受联合体投标。</w:t>
            </w:r>
          </w:p>
          <w:p w:rsidR="006D1C6E" w:rsidRPr="00D9003B" w:rsidRDefault="006D1C6E" w:rsidP="001A701A">
            <w:pPr>
              <w:spacing w:line="360" w:lineRule="auto"/>
              <w:rPr>
                <w:rFonts w:asciiTheme="minorEastAsia" w:hAnsiTheme="minorEastAsia"/>
                <w:sz w:val="24"/>
                <w:szCs w:val="24"/>
              </w:rPr>
            </w:pPr>
            <w:r w:rsidRPr="00D9003B">
              <w:rPr>
                <w:rFonts w:ascii="仿宋" w:eastAsia="仿宋" w:hAnsi="仿宋"/>
                <w:sz w:val="24"/>
                <w:szCs w:val="24"/>
              </w:rPr>
              <w:t>五、付款方式：</w:t>
            </w:r>
            <w:r w:rsidR="001A701A" w:rsidRPr="001A701A">
              <w:rPr>
                <w:rFonts w:ascii="仿宋" w:eastAsia="仿宋" w:hAnsi="仿宋" w:hint="eastAsia"/>
                <w:sz w:val="24"/>
                <w:szCs w:val="24"/>
              </w:rPr>
              <w:t>总价包干，合同签订后支付</w:t>
            </w:r>
            <w:r w:rsidR="001A701A">
              <w:rPr>
                <w:rFonts w:ascii="仿宋" w:eastAsia="仿宋" w:hAnsi="仿宋" w:hint="eastAsia"/>
                <w:sz w:val="24"/>
                <w:szCs w:val="24"/>
              </w:rPr>
              <w:t>预付款</w:t>
            </w:r>
            <w:r w:rsidR="001A701A" w:rsidRPr="001A701A">
              <w:rPr>
                <w:rFonts w:ascii="仿宋" w:eastAsia="仿宋" w:hAnsi="仿宋" w:hint="eastAsia"/>
                <w:sz w:val="24"/>
                <w:szCs w:val="24"/>
              </w:rPr>
              <w:t>30%</w:t>
            </w:r>
            <w:r w:rsidR="001A701A">
              <w:rPr>
                <w:rFonts w:ascii="仿宋" w:eastAsia="仿宋" w:hAnsi="仿宋" w:hint="eastAsia"/>
                <w:sz w:val="24"/>
                <w:szCs w:val="24"/>
              </w:rPr>
              <w:t>，提交成果</w:t>
            </w:r>
            <w:r w:rsidR="001A701A" w:rsidRPr="001A701A">
              <w:rPr>
                <w:rFonts w:ascii="仿宋" w:eastAsia="仿宋" w:hAnsi="仿宋" w:hint="eastAsia"/>
                <w:sz w:val="24"/>
                <w:szCs w:val="24"/>
              </w:rPr>
              <w:t>通过审</w:t>
            </w:r>
            <w:r w:rsidR="001A701A">
              <w:rPr>
                <w:rFonts w:ascii="仿宋" w:eastAsia="仿宋" w:hAnsi="仿宋" w:hint="eastAsia"/>
                <w:sz w:val="24"/>
                <w:szCs w:val="24"/>
              </w:rPr>
              <w:t>查，</w:t>
            </w:r>
            <w:r w:rsidR="001A701A">
              <w:rPr>
                <w:rFonts w:ascii="仿宋" w:eastAsia="仿宋" w:hAnsi="仿宋"/>
                <w:sz w:val="24"/>
                <w:szCs w:val="24"/>
              </w:rPr>
              <w:t>取得备案和批复</w:t>
            </w:r>
            <w:r w:rsidR="001A701A" w:rsidRPr="001A701A">
              <w:rPr>
                <w:rFonts w:ascii="仿宋" w:eastAsia="仿宋" w:hAnsi="仿宋" w:hint="eastAsia"/>
                <w:sz w:val="24"/>
                <w:szCs w:val="24"/>
              </w:rPr>
              <w:t>后付清余</w:t>
            </w:r>
            <w:bookmarkStart w:id="0" w:name="_GoBack"/>
            <w:bookmarkEnd w:id="0"/>
            <w:r w:rsidR="001A701A" w:rsidRPr="001A701A">
              <w:rPr>
                <w:rFonts w:ascii="仿宋" w:eastAsia="仿宋" w:hAnsi="仿宋" w:hint="eastAsia"/>
                <w:sz w:val="24"/>
                <w:szCs w:val="24"/>
              </w:rPr>
              <w:t>款。</w:t>
            </w:r>
          </w:p>
        </w:tc>
        <w:tc>
          <w:tcPr>
            <w:tcW w:w="831" w:type="pct"/>
            <w:vMerge/>
            <w:vAlign w:val="center"/>
          </w:tcPr>
          <w:p w:rsidR="006D1C6E" w:rsidRPr="00D9003B" w:rsidRDefault="006D1C6E" w:rsidP="00B30DC4">
            <w:pPr>
              <w:spacing w:line="360" w:lineRule="auto"/>
              <w:jc w:val="center"/>
              <w:rPr>
                <w:rFonts w:ascii="仿宋" w:eastAsia="仿宋" w:hAnsi="仿宋"/>
                <w:sz w:val="24"/>
                <w:szCs w:val="24"/>
              </w:rPr>
            </w:pPr>
          </w:p>
        </w:tc>
      </w:tr>
    </w:tbl>
    <w:p w:rsidR="00DF6942" w:rsidRPr="00D9003B" w:rsidRDefault="00DF6942" w:rsidP="00B30DC4">
      <w:pPr>
        <w:spacing w:line="480" w:lineRule="exact"/>
        <w:ind w:firstLineChars="200" w:firstLine="480"/>
        <w:jc w:val="left"/>
        <w:rPr>
          <w:sz w:val="24"/>
          <w:szCs w:val="24"/>
        </w:rPr>
      </w:pPr>
    </w:p>
    <w:sectPr w:rsidR="00DF6942" w:rsidRPr="00D9003B" w:rsidSect="00167C1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11" w:rsidRDefault="00903311" w:rsidP="00F6543C">
      <w:r>
        <w:separator/>
      </w:r>
    </w:p>
  </w:endnote>
  <w:endnote w:type="continuationSeparator" w:id="0">
    <w:p w:rsidR="00903311" w:rsidRDefault="00903311" w:rsidP="00F6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11" w:rsidRDefault="00903311" w:rsidP="00F6543C">
      <w:r>
        <w:separator/>
      </w:r>
    </w:p>
  </w:footnote>
  <w:footnote w:type="continuationSeparator" w:id="0">
    <w:p w:rsidR="00903311" w:rsidRDefault="00903311" w:rsidP="00F65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79A4"/>
    <w:multiLevelType w:val="hybridMultilevel"/>
    <w:tmpl w:val="0C821642"/>
    <w:lvl w:ilvl="0" w:tplc="DC4E262E">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132819A6"/>
    <w:multiLevelType w:val="hybridMultilevel"/>
    <w:tmpl w:val="6958EAB4"/>
    <w:lvl w:ilvl="0" w:tplc="DEECAC7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6916599"/>
    <w:multiLevelType w:val="hybridMultilevel"/>
    <w:tmpl w:val="A8E26662"/>
    <w:lvl w:ilvl="0" w:tplc="F95E19D6">
      <w:start w:val="3"/>
      <w:numFmt w:val="japaneseCounting"/>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3" w15:restartNumberingAfterBreak="0">
    <w:nsid w:val="1953375B"/>
    <w:multiLevelType w:val="hybridMultilevel"/>
    <w:tmpl w:val="7F9AAEE8"/>
    <w:lvl w:ilvl="0" w:tplc="D9F2B16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CA93C42"/>
    <w:multiLevelType w:val="hybridMultilevel"/>
    <w:tmpl w:val="863E585A"/>
    <w:lvl w:ilvl="0" w:tplc="F196AAF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262815B5"/>
    <w:multiLevelType w:val="hybridMultilevel"/>
    <w:tmpl w:val="B8345266"/>
    <w:lvl w:ilvl="0" w:tplc="4A82CE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362473"/>
    <w:multiLevelType w:val="hybridMultilevel"/>
    <w:tmpl w:val="DCAEB7B4"/>
    <w:lvl w:ilvl="0" w:tplc="F3C2ED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6619A7"/>
    <w:multiLevelType w:val="hybridMultilevel"/>
    <w:tmpl w:val="71CE6650"/>
    <w:lvl w:ilvl="0" w:tplc="0966FEE6">
      <w:start w:val="1"/>
      <w:numFmt w:val="japaneseCounting"/>
      <w:lvlText w:val="%1、"/>
      <w:lvlJc w:val="left"/>
      <w:pPr>
        <w:ind w:left="905" w:hanging="480"/>
      </w:pPr>
      <w:rPr>
        <w:rFonts w:asciiTheme="minorEastAsia" w:eastAsiaTheme="minorEastAsia" w:hAnsiTheme="minorEastAsia" w:cstheme="minorBidi" w:hint="default"/>
        <w:color w:val="auto"/>
        <w:sz w:val="24"/>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3B062677"/>
    <w:multiLevelType w:val="hybridMultilevel"/>
    <w:tmpl w:val="3C64466E"/>
    <w:lvl w:ilvl="0" w:tplc="719CEA4E">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2184E53"/>
    <w:multiLevelType w:val="hybridMultilevel"/>
    <w:tmpl w:val="3E0A55B0"/>
    <w:lvl w:ilvl="0" w:tplc="C0E0E32C">
      <w:start w:val="1"/>
      <w:numFmt w:val="japaneseCounting"/>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506C7411"/>
    <w:multiLevelType w:val="hybridMultilevel"/>
    <w:tmpl w:val="E146F14A"/>
    <w:lvl w:ilvl="0" w:tplc="7BB2D6C6">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9"/>
  </w:num>
  <w:num w:numId="2">
    <w:abstractNumId w:val="4"/>
  </w:num>
  <w:num w:numId="3">
    <w:abstractNumId w:val="2"/>
  </w:num>
  <w:num w:numId="4">
    <w:abstractNumId w:val="3"/>
  </w:num>
  <w:num w:numId="5">
    <w:abstractNumId w:val="5"/>
  </w:num>
  <w:num w:numId="6">
    <w:abstractNumId w:val="1"/>
  </w:num>
  <w:num w:numId="7">
    <w:abstractNumId w:val="10"/>
  </w:num>
  <w:num w:numId="8">
    <w:abstractNumId w:val="6"/>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41"/>
    <w:rsid w:val="0006729F"/>
    <w:rsid w:val="00127B48"/>
    <w:rsid w:val="00167C17"/>
    <w:rsid w:val="001A701A"/>
    <w:rsid w:val="001C7195"/>
    <w:rsid w:val="001C7E40"/>
    <w:rsid w:val="00215587"/>
    <w:rsid w:val="00282FAB"/>
    <w:rsid w:val="0032743A"/>
    <w:rsid w:val="00380BB4"/>
    <w:rsid w:val="004923D6"/>
    <w:rsid w:val="004D7F8B"/>
    <w:rsid w:val="00542BC5"/>
    <w:rsid w:val="00551410"/>
    <w:rsid w:val="005D1009"/>
    <w:rsid w:val="006D1C6E"/>
    <w:rsid w:val="007E6313"/>
    <w:rsid w:val="008336E7"/>
    <w:rsid w:val="008A144B"/>
    <w:rsid w:val="00903311"/>
    <w:rsid w:val="0093052E"/>
    <w:rsid w:val="00935441"/>
    <w:rsid w:val="00B149E2"/>
    <w:rsid w:val="00B30DC4"/>
    <w:rsid w:val="00BD0E04"/>
    <w:rsid w:val="00BD4F1F"/>
    <w:rsid w:val="00CB5C63"/>
    <w:rsid w:val="00D1739F"/>
    <w:rsid w:val="00D26181"/>
    <w:rsid w:val="00D71CF8"/>
    <w:rsid w:val="00D9003B"/>
    <w:rsid w:val="00DF6942"/>
    <w:rsid w:val="00E96D72"/>
    <w:rsid w:val="00F04B64"/>
    <w:rsid w:val="00F267D1"/>
    <w:rsid w:val="00F6543C"/>
    <w:rsid w:val="00F8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DC306-C465-4476-8CA5-70B462EE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F1F"/>
    <w:pPr>
      <w:ind w:firstLineChars="200" w:firstLine="420"/>
    </w:pPr>
  </w:style>
  <w:style w:type="table" w:styleId="a4">
    <w:name w:val="Table Grid"/>
    <w:basedOn w:val="a1"/>
    <w:uiPriority w:val="39"/>
    <w:rsid w:val="0054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654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543C"/>
    <w:rPr>
      <w:sz w:val="18"/>
      <w:szCs w:val="18"/>
    </w:rPr>
  </w:style>
  <w:style w:type="paragraph" w:styleId="a6">
    <w:name w:val="footer"/>
    <w:basedOn w:val="a"/>
    <w:link w:val="Char0"/>
    <w:uiPriority w:val="99"/>
    <w:unhideWhenUsed/>
    <w:rsid w:val="00F6543C"/>
    <w:pPr>
      <w:tabs>
        <w:tab w:val="center" w:pos="4153"/>
        <w:tab w:val="right" w:pos="8306"/>
      </w:tabs>
      <w:snapToGrid w:val="0"/>
      <w:jc w:val="left"/>
    </w:pPr>
    <w:rPr>
      <w:sz w:val="18"/>
      <w:szCs w:val="18"/>
    </w:rPr>
  </w:style>
  <w:style w:type="character" w:customStyle="1" w:styleId="Char0">
    <w:name w:val="页脚 Char"/>
    <w:basedOn w:val="a0"/>
    <w:link w:val="a6"/>
    <w:uiPriority w:val="99"/>
    <w:rsid w:val="00F654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78253">
      <w:bodyDiv w:val="1"/>
      <w:marLeft w:val="0"/>
      <w:marRight w:val="0"/>
      <w:marTop w:val="0"/>
      <w:marBottom w:val="0"/>
      <w:divBdr>
        <w:top w:val="none" w:sz="0" w:space="0" w:color="auto"/>
        <w:left w:val="none" w:sz="0" w:space="0" w:color="auto"/>
        <w:bottom w:val="none" w:sz="0" w:space="0" w:color="auto"/>
        <w:right w:val="none" w:sz="0" w:space="0" w:color="auto"/>
      </w:divBdr>
      <w:divsChild>
        <w:div w:id="170290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2024-07-01T05:19:00Z</dcterms:created>
  <dcterms:modified xsi:type="dcterms:W3CDTF">2024-07-01T07:14:00Z</dcterms:modified>
</cp:coreProperties>
</file>