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D0" w:rsidRDefault="00943CD0" w:rsidP="00943CD0">
      <w:pPr>
        <w:spacing w:line="560" w:lineRule="exact"/>
        <w:rPr>
          <w:b/>
          <w:bCs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943CD0" w:rsidRDefault="00943CD0" w:rsidP="00943CD0">
      <w:pPr>
        <w:pStyle w:val="a0"/>
        <w:ind w:firstLineChars="900" w:firstLine="3240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采购需求一览表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16"/>
        <w:gridCol w:w="867"/>
        <w:gridCol w:w="425"/>
        <w:gridCol w:w="440"/>
        <w:gridCol w:w="6665"/>
        <w:gridCol w:w="1086"/>
        <w:gridCol w:w="28"/>
      </w:tblGrid>
      <w:tr w:rsidR="007C47A3" w:rsidTr="006A245C">
        <w:trPr>
          <w:trHeight w:val="1052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采购清单及服务参数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采购服务名称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服务参数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预算合计</w:t>
            </w:r>
          </w:p>
          <w:p w:rsidR="007C47A3" w:rsidRDefault="007C47A3" w:rsidP="002840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（万元）</w:t>
            </w:r>
          </w:p>
        </w:tc>
      </w:tr>
      <w:tr w:rsidR="007C47A3" w:rsidTr="006A245C">
        <w:trPr>
          <w:trHeight w:val="407"/>
          <w:jc w:val="center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A3" w:rsidRDefault="007C47A3" w:rsidP="002840C0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南宁市江南区人民医院诊疗服务能力改造提升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项目平急两用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项目实施方案（含转换方案）编制服务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3" w:rsidRDefault="007C47A3" w:rsidP="007C47A3">
            <w:pPr>
              <w:numPr>
                <w:ilvl w:val="0"/>
                <w:numId w:val="1"/>
              </w:numPr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工作内容及范围：</w:t>
            </w:r>
          </w:p>
          <w:p w:rsidR="007C47A3" w:rsidRDefault="007C47A3" w:rsidP="007C47A3">
            <w:pPr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编制《南宁市江南区人民医院诊疗服务能力改造提升项目“平急两用”实施方案（含转换方案）》，包括编制本项目实施方案（含转换方案）、用地现状图（航拍图为底图）、</w:t>
            </w:r>
            <w:proofErr w:type="gramStart"/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项目总平图</w:t>
            </w:r>
            <w:proofErr w:type="gramEnd"/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（带经济技术指标表）、项目汇报PPT、项目简介。</w:t>
            </w:r>
          </w:p>
          <w:p w:rsidR="007C47A3" w:rsidRDefault="007C47A3" w:rsidP="007C47A3">
            <w:pPr>
              <w:numPr>
                <w:ilvl w:val="0"/>
                <w:numId w:val="1"/>
              </w:numPr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服务要求：</w:t>
            </w:r>
          </w:p>
          <w:p w:rsidR="007C47A3" w:rsidRDefault="007C47A3" w:rsidP="007C47A3">
            <w:pPr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提交的工作成果符合相关规定的项目实施方案（含转换方案）编制的内容及深度要求。</w:t>
            </w:r>
          </w:p>
          <w:p w:rsidR="007C47A3" w:rsidRDefault="007C47A3" w:rsidP="007C47A3">
            <w:pPr>
              <w:numPr>
                <w:ilvl w:val="0"/>
                <w:numId w:val="1"/>
              </w:numPr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成果用途：</w:t>
            </w:r>
          </w:p>
          <w:p w:rsidR="007C47A3" w:rsidRDefault="007C47A3" w:rsidP="007C47A3">
            <w:pPr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供采购人申报“平急两用”公共基础设施项目使用。</w:t>
            </w:r>
          </w:p>
          <w:p w:rsidR="007C47A3" w:rsidRDefault="007C47A3" w:rsidP="007C47A3">
            <w:pPr>
              <w:numPr>
                <w:ilvl w:val="0"/>
                <w:numId w:val="1"/>
              </w:numPr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编制成果要求：</w:t>
            </w:r>
          </w:p>
          <w:p w:rsidR="007C47A3" w:rsidRDefault="007C47A3" w:rsidP="007C47A3"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供应商向采购人提供本项目实施方案（含转换方案）文本5本，电子文件图形文件采用DWG格式文件提供光盘1套。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</w:t>
            </w:r>
          </w:p>
        </w:tc>
      </w:tr>
      <w:tr w:rsidR="007C47A3" w:rsidTr="006A245C">
        <w:trPr>
          <w:gridAfter w:val="1"/>
          <w:wAfter w:w="28" w:type="dxa"/>
          <w:trHeight w:val="71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3" w:rsidRDefault="007C47A3" w:rsidP="002840C0">
            <w:pPr>
              <w:jc w:val="center"/>
              <w:rPr>
                <w:rFonts w:ascii="宋体" w:hAnsi="宋体"/>
              </w:rPr>
            </w:pPr>
          </w:p>
          <w:p w:rsidR="007C47A3" w:rsidRDefault="007C47A3" w:rsidP="002840C0">
            <w:pPr>
              <w:jc w:val="center"/>
              <w:rPr>
                <w:rFonts w:ascii="宋体" w:hAnsi="宋体"/>
              </w:rPr>
            </w:pPr>
          </w:p>
          <w:p w:rsidR="007C47A3" w:rsidRDefault="007C47A3" w:rsidP="002840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商务条款</w:t>
            </w:r>
          </w:p>
        </w:tc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3" w:rsidRPr="00FA1CCA" w:rsidRDefault="007C47A3" w:rsidP="007C47A3">
            <w:pPr>
              <w:numPr>
                <w:ilvl w:val="0"/>
                <w:numId w:val="4"/>
              </w:numPr>
              <w:jc w:val="left"/>
              <w:rPr>
                <w:rFonts w:ascii="宋体" w:hAnsi="宋体"/>
                <w:sz w:val="20"/>
                <w:szCs w:val="20"/>
              </w:rPr>
            </w:pPr>
            <w:r w:rsidRPr="00FA1CCA">
              <w:rPr>
                <w:rFonts w:ascii="宋体" w:hAnsi="宋体" w:cs="宋体" w:hint="eastAsia"/>
                <w:color w:val="333333"/>
                <w:sz w:val="20"/>
                <w:szCs w:val="20"/>
              </w:rPr>
              <w:t>合同签订期：</w:t>
            </w:r>
            <w:proofErr w:type="gramStart"/>
            <w:r w:rsidRPr="00FA1CCA">
              <w:rPr>
                <w:rFonts w:hint="eastAsia"/>
                <w:sz w:val="20"/>
                <w:szCs w:val="20"/>
              </w:rPr>
              <w:t>自结果</w:t>
            </w:r>
            <w:proofErr w:type="gramEnd"/>
            <w:r w:rsidRPr="00FA1CCA">
              <w:rPr>
                <w:rFonts w:hint="eastAsia"/>
                <w:sz w:val="20"/>
                <w:szCs w:val="20"/>
              </w:rPr>
              <w:t>公示结束之日起</w:t>
            </w:r>
            <w:r w:rsidRPr="00FA1CCA">
              <w:rPr>
                <w:sz w:val="20"/>
                <w:szCs w:val="20"/>
              </w:rPr>
              <w:t>2</w:t>
            </w:r>
            <w:r w:rsidRPr="00FA1CCA">
              <w:rPr>
                <w:rFonts w:hint="eastAsia"/>
                <w:sz w:val="20"/>
                <w:szCs w:val="20"/>
              </w:rPr>
              <w:t>0</w:t>
            </w:r>
            <w:r w:rsidRPr="00FA1CCA">
              <w:rPr>
                <w:rFonts w:hint="eastAsia"/>
                <w:sz w:val="20"/>
                <w:szCs w:val="20"/>
              </w:rPr>
              <w:t>日历日内。若因成交供应商自身原因未能在约定的时间内与采购人签订合同的，采购人将不再受理合同签订事宜，并终止项目合同签订，成交供应商自行承担由此产生的后果</w:t>
            </w:r>
            <w:r w:rsidRPr="00FA1CCA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7C47A3" w:rsidRPr="00FA1CCA" w:rsidRDefault="007C47A3" w:rsidP="007C47A3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A1CCA">
              <w:rPr>
                <w:rFonts w:ascii="宋体" w:hAnsi="宋体" w:cs="宋体" w:hint="eastAsia"/>
                <w:color w:val="333333"/>
                <w:sz w:val="20"/>
                <w:szCs w:val="20"/>
              </w:rPr>
              <w:t>提交服务成果时间：自本合同签订后按相关行政审批部门要求完成项目实施方案（含转换方案）（注：甲方所提供工作用资料不完善的则上述完成时间顺延）。</w:t>
            </w:r>
          </w:p>
          <w:p w:rsidR="007C47A3" w:rsidRPr="00FA1CCA" w:rsidRDefault="007C47A3" w:rsidP="007C47A3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A1CCA">
              <w:rPr>
                <w:rFonts w:ascii="宋体" w:hAnsi="宋体" w:cs="宋体" w:hint="eastAsia"/>
                <w:color w:val="000000"/>
                <w:sz w:val="20"/>
                <w:szCs w:val="20"/>
              </w:rPr>
              <w:t>提交服务成果地点： 采购人指定地点。</w:t>
            </w:r>
          </w:p>
          <w:p w:rsidR="007C47A3" w:rsidRPr="00FA1CCA" w:rsidRDefault="007C47A3" w:rsidP="007C47A3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A1CCA">
              <w:rPr>
                <w:rFonts w:ascii="宋体" w:hAnsi="宋体" w:cs="宋体" w:hint="eastAsia"/>
                <w:color w:val="000000"/>
                <w:sz w:val="20"/>
                <w:szCs w:val="20"/>
              </w:rPr>
              <w:t>质量标准：提交的工作成果符合相关规定的项目实施方案（含转换方案）编制的内容及深度要求。</w:t>
            </w:r>
          </w:p>
          <w:p w:rsidR="007C47A3" w:rsidRPr="00FA1CCA" w:rsidRDefault="007C47A3" w:rsidP="007C47A3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A1CCA">
              <w:rPr>
                <w:rFonts w:ascii="宋体" w:hAnsi="宋体" w:cs="宋体" w:hint="eastAsia"/>
                <w:color w:val="000000"/>
                <w:sz w:val="20"/>
                <w:szCs w:val="20"/>
              </w:rPr>
              <w:t>售后服务要求：</w:t>
            </w:r>
          </w:p>
          <w:p w:rsidR="007C47A3" w:rsidRPr="00FA1CCA" w:rsidRDefault="007C47A3" w:rsidP="007C47A3">
            <w:pPr>
              <w:widowControl/>
              <w:shd w:val="clear" w:color="auto" w:fill="FFFFFF"/>
              <w:spacing w:line="330" w:lineRule="atLeast"/>
              <w:rPr>
                <w:rFonts w:ascii="宋体" w:hAnsi="宋体"/>
                <w:bCs/>
                <w:sz w:val="20"/>
                <w:szCs w:val="20"/>
              </w:rPr>
            </w:pP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1.质量保证期 1 年（自提交成果之日起计）。</w:t>
            </w:r>
          </w:p>
          <w:p w:rsidR="007C47A3" w:rsidRPr="00FA1CCA" w:rsidRDefault="007C47A3" w:rsidP="007C47A3">
            <w:pPr>
              <w:widowControl/>
              <w:shd w:val="clear" w:color="auto" w:fill="FFFFFF"/>
              <w:spacing w:line="330" w:lineRule="atLeast"/>
              <w:rPr>
                <w:rFonts w:ascii="宋体" w:hAnsi="宋体"/>
                <w:bCs/>
                <w:sz w:val="20"/>
                <w:szCs w:val="20"/>
              </w:rPr>
            </w:pP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2.服务响应时间：接到采购人处理问题通知后 2 小时内到达采购人指定现场。</w:t>
            </w:r>
          </w:p>
          <w:p w:rsidR="007C47A3" w:rsidRPr="00FA1CCA" w:rsidRDefault="007C47A3" w:rsidP="007C47A3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A1CCA"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其他要求：</w:t>
            </w:r>
          </w:p>
          <w:p w:rsidR="007C47A3" w:rsidRPr="00FA1CCA" w:rsidRDefault="007C47A3" w:rsidP="007C47A3">
            <w:pPr>
              <w:widowControl/>
              <w:shd w:val="clear" w:color="auto" w:fill="FFFFFF"/>
              <w:spacing w:line="330" w:lineRule="atLeast"/>
              <w:rPr>
                <w:rFonts w:ascii="宋体" w:hAnsi="宋体"/>
                <w:bCs/>
                <w:sz w:val="20"/>
                <w:szCs w:val="20"/>
              </w:rPr>
            </w:pP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1.报价为合同包干价，包含本项目实施方案（含转换方案）所产生的实地调查、报告编制、劳务、交通和通讯设备、服务、资料收集、文本费、税金、利润等全部费用。</w:t>
            </w:r>
          </w:p>
          <w:p w:rsidR="007C47A3" w:rsidRPr="00FA1CCA" w:rsidRDefault="007C47A3" w:rsidP="007C47A3">
            <w:pPr>
              <w:widowControl/>
              <w:shd w:val="clear" w:color="auto" w:fill="FFFFFF"/>
              <w:spacing w:line="330" w:lineRule="atLeast"/>
              <w:rPr>
                <w:rFonts w:ascii="宋体" w:hAnsi="宋体"/>
                <w:bCs/>
                <w:sz w:val="20"/>
                <w:szCs w:val="20"/>
              </w:rPr>
            </w:pP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2.费用计取方式：固定总价合同。</w:t>
            </w:r>
          </w:p>
          <w:p w:rsidR="007C47A3" w:rsidRDefault="007C47A3" w:rsidP="007C47A3">
            <w:pPr>
              <w:widowControl/>
              <w:shd w:val="clear" w:color="auto" w:fill="FFFFFF"/>
              <w:spacing w:line="330" w:lineRule="atLeast"/>
              <w:rPr>
                <w:rFonts w:ascii="宋体" w:hAnsi="宋体" w:cs="宋体"/>
                <w:szCs w:val="21"/>
              </w:rPr>
            </w:pP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3.付款方式：提交服务成果后15天内，采购人</w:t>
            </w:r>
            <w:proofErr w:type="gramStart"/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凭成交</w:t>
            </w:r>
            <w:proofErr w:type="gramEnd"/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服务商开具全额普通发票，一次性支付合同款100%。</w:t>
            </w:r>
          </w:p>
        </w:tc>
      </w:tr>
      <w:tr w:rsidR="007C47A3" w:rsidTr="006A245C">
        <w:trPr>
          <w:gridAfter w:val="1"/>
          <w:wAfter w:w="28" w:type="dxa"/>
          <w:trHeight w:val="27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A3" w:rsidRDefault="007C47A3" w:rsidP="002840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其他说明</w:t>
            </w:r>
          </w:p>
        </w:tc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3" w:rsidRPr="00FA1CCA" w:rsidRDefault="007C47A3" w:rsidP="007C47A3">
            <w:pPr>
              <w:pStyle w:val="a6"/>
              <w:numPr>
                <w:ilvl w:val="0"/>
                <w:numId w:val="5"/>
              </w:numPr>
              <w:snapToGrid w:val="0"/>
              <w:spacing w:line="360" w:lineRule="exact"/>
              <w:ind w:firstLineChars="0"/>
              <w:rPr>
                <w:rFonts w:ascii="宋体" w:hAnsi="宋体"/>
                <w:sz w:val="20"/>
                <w:szCs w:val="20"/>
              </w:rPr>
            </w:pPr>
            <w:r w:rsidRPr="00FA1CCA">
              <w:rPr>
                <w:rFonts w:ascii="宋体" w:hAnsi="宋体" w:hint="eastAsia"/>
                <w:sz w:val="20"/>
                <w:szCs w:val="20"/>
              </w:rPr>
              <w:t>本项目设置最高限价，投标人报价不能超过以最高限价，否则投标无效。</w:t>
            </w:r>
          </w:p>
          <w:p w:rsidR="007C47A3" w:rsidRPr="00FA1CCA" w:rsidRDefault="007C47A3" w:rsidP="007C47A3">
            <w:pPr>
              <w:widowControl/>
              <w:shd w:val="clear" w:color="auto" w:fill="FFFFFF"/>
              <w:spacing w:line="330" w:lineRule="atLeast"/>
              <w:rPr>
                <w:rFonts w:ascii="宋体" w:hAnsi="宋体"/>
                <w:bCs/>
                <w:sz w:val="20"/>
                <w:szCs w:val="20"/>
              </w:rPr>
            </w:pP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2.本项目</w:t>
            </w:r>
            <w:r w:rsidR="006A245C">
              <w:rPr>
                <w:rFonts w:ascii="宋体" w:hAnsi="宋体" w:hint="eastAsia"/>
                <w:bCs/>
                <w:sz w:val="20"/>
                <w:szCs w:val="20"/>
              </w:rPr>
              <w:t>验收依据服务</w:t>
            </w: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 xml:space="preserve">参数对服务项目进行验收。 </w:t>
            </w:r>
          </w:p>
          <w:p w:rsidR="007C47A3" w:rsidRPr="00FA1CCA" w:rsidRDefault="007C47A3" w:rsidP="006A245C">
            <w:pPr>
              <w:pStyle w:val="a0"/>
              <w:rPr>
                <w:sz w:val="20"/>
                <w:szCs w:val="20"/>
              </w:rPr>
            </w:pPr>
            <w:r w:rsidRPr="00FA1CCA">
              <w:rPr>
                <w:rFonts w:ascii="宋体" w:hAnsi="宋体" w:hint="eastAsia"/>
                <w:bCs/>
                <w:sz w:val="20"/>
                <w:szCs w:val="20"/>
              </w:rPr>
              <w:t>3.本项目需执行国家相关标准、行业标准、地方标准或其他强制性标准、规范等要求。</w:t>
            </w:r>
          </w:p>
        </w:tc>
      </w:tr>
    </w:tbl>
    <w:p w:rsidR="00854B8A" w:rsidRPr="00943CD0" w:rsidRDefault="00854B8A"/>
    <w:sectPr w:rsidR="00854B8A" w:rsidRPr="0094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9C" w:rsidRDefault="0033459C" w:rsidP="00943CD0">
      <w:r>
        <w:separator/>
      </w:r>
    </w:p>
  </w:endnote>
  <w:endnote w:type="continuationSeparator" w:id="0">
    <w:p w:rsidR="0033459C" w:rsidRDefault="0033459C" w:rsidP="0094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9C" w:rsidRDefault="0033459C" w:rsidP="00943CD0">
      <w:r>
        <w:separator/>
      </w:r>
    </w:p>
  </w:footnote>
  <w:footnote w:type="continuationSeparator" w:id="0">
    <w:p w:rsidR="0033459C" w:rsidRDefault="0033459C" w:rsidP="0094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51D79"/>
    <w:multiLevelType w:val="singleLevel"/>
    <w:tmpl w:val="88751D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1A8757"/>
    <w:multiLevelType w:val="singleLevel"/>
    <w:tmpl w:val="501A87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EA6299"/>
    <w:multiLevelType w:val="singleLevel"/>
    <w:tmpl w:val="50EA6299"/>
    <w:lvl w:ilvl="0">
      <w:start w:val="4"/>
      <w:numFmt w:val="decimal"/>
      <w:suff w:val="nothing"/>
      <w:lvlText w:val="%1、"/>
      <w:lvlJc w:val="left"/>
    </w:lvl>
  </w:abstractNum>
  <w:abstractNum w:abstractNumId="3">
    <w:nsid w:val="6991A956"/>
    <w:multiLevelType w:val="singleLevel"/>
    <w:tmpl w:val="6991A95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842B53"/>
    <w:multiLevelType w:val="hybridMultilevel"/>
    <w:tmpl w:val="DB8E6968"/>
    <w:lvl w:ilvl="0" w:tplc="5BD46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35"/>
    <w:rsid w:val="002A7D96"/>
    <w:rsid w:val="0033459C"/>
    <w:rsid w:val="006A245C"/>
    <w:rsid w:val="007C47A3"/>
    <w:rsid w:val="00854B8A"/>
    <w:rsid w:val="00943CD0"/>
    <w:rsid w:val="00C92035"/>
    <w:rsid w:val="00DF397D"/>
    <w:rsid w:val="00EB228F"/>
    <w:rsid w:val="00F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3C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94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943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43CD0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943CD0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943CD0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7C47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3C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94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943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43CD0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943CD0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943CD0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7C47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2024-04-18T00:29:00Z</dcterms:created>
  <dcterms:modified xsi:type="dcterms:W3CDTF">2024-04-24T09:30:00Z</dcterms:modified>
</cp:coreProperties>
</file>