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附件2</w:t>
      </w:r>
    </w:p>
    <w:p>
      <w:pPr>
        <w:adjustRightInd w:val="0"/>
        <w:snapToGrid w:val="0"/>
        <w:spacing w:line="600" w:lineRule="exact"/>
        <w:ind w:firstLine="640" w:firstLineChars="200"/>
        <w:rPr>
          <w:rFonts w:hint="eastAsia" w:ascii="方正小标宋简体" w:hAnsi="方正小标宋简体" w:eastAsia="方正小标宋简体" w:cs="方正小标宋简体"/>
          <w:b/>
          <w:color w:val="000000"/>
          <w:sz w:val="32"/>
          <w:szCs w:val="32"/>
        </w:rPr>
      </w:pPr>
    </w:p>
    <w:p>
      <w:pPr>
        <w:adjustRightInd w:val="0"/>
        <w:snapToGrid w:val="0"/>
        <w:spacing w:line="600" w:lineRule="exact"/>
        <w:jc w:val="center"/>
        <w:rPr>
          <w:rFonts w:hint="eastAsia"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《广西医疗服务项目价格（2021年版）》</w:t>
      </w:r>
    </w:p>
    <w:p>
      <w:pPr>
        <w:adjustRightInd w:val="0"/>
        <w:snapToGrid w:val="0"/>
        <w:spacing w:line="600" w:lineRule="exact"/>
        <w:jc w:val="center"/>
        <w:rPr>
          <w:rFonts w:hint="eastAsia"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使用说明</w:t>
      </w:r>
      <w:bookmarkStart w:id="0" w:name="_GoBack"/>
      <w:bookmarkEnd w:id="0"/>
    </w:p>
    <w:p>
      <w:pPr>
        <w:adjustRightInd w:val="0"/>
        <w:snapToGrid w:val="0"/>
        <w:spacing w:line="600" w:lineRule="exact"/>
        <w:ind w:firstLine="640" w:firstLineChars="200"/>
        <w:rPr>
          <w:rFonts w:ascii="Times New Roman" w:hAnsi="Times New Roman" w:eastAsia="方正仿宋_GBK"/>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《广西医疗服务项目价格（2021年版）》是在对此前我区公立医疗卫生机构开展的医疗服务价格项目的统一归并和重新规范。</w:t>
      </w:r>
    </w:p>
    <w:p>
      <w:pPr>
        <w:adjustRightInd w:val="0"/>
        <w:snapToGrid w:val="0"/>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一、项目分类</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所列医疗服务价格项目共分四大类，采用五级分类法。以四大类作为第1级，分别为综合医疗服务类、医技诊疗类、临床诊疗类、中医及民族医诊疗类。每类下可设第2至5级分类，第5级为医疗服务价格终极项目。其中临床诊疗类中“临床各系统诊疗”和“手术治疗”两类参照国际疾病分类（ICD-9-CM）的格式，按解剖部位从上至下，由近端到远端，由浅层到深层原则排序。</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《广西医疗服务项目价格（2021年版）》按5级统计，共计</w:t>
      </w:r>
      <w:r>
        <w:rPr>
          <w:rFonts w:hint="eastAsia" w:ascii="仿宋_GB2312" w:hAnsi="仿宋_GB2312" w:eastAsia="仿宋_GB2312" w:cs="仿宋_GB2312"/>
          <w:sz w:val="32"/>
          <w:szCs w:val="32"/>
        </w:rPr>
        <w:t>14714</w:t>
      </w:r>
      <w:r>
        <w:rPr>
          <w:rFonts w:hint="eastAsia" w:ascii="仿宋_GB2312" w:hAnsi="仿宋_GB2312" w:eastAsia="仿宋_GB2312" w:cs="仿宋_GB2312"/>
          <w:color w:val="000000"/>
          <w:sz w:val="32"/>
          <w:szCs w:val="32"/>
        </w:rPr>
        <w:t>项。</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项目分类的基本架构举例如下：</w:t>
      </w:r>
    </w:p>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br w:type="page"/>
      </w:r>
      <w:r>
        <w:rPr>
          <w:rFonts w:hint="eastAsia" w:ascii="仿宋_GB2312" w:hAnsi="仿宋_GB2312" w:eastAsia="仿宋_GB2312" w:cs="仿宋_GB2312"/>
          <w:b/>
          <w:bCs/>
          <w:color w:val="000000"/>
          <w:kern w:val="0"/>
          <w:sz w:val="32"/>
          <w:szCs w:val="32"/>
        </w:rPr>
        <w:t>医疗服务价格项目</w:t>
      </w:r>
    </w:p>
    <w:tbl>
      <w:tblPr>
        <w:tblStyle w:val="2"/>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9" w:type="dxa"/>
            <w:gridSpan w:val="5"/>
            <w:tcBorders>
              <w:top w:val="nil"/>
              <w:left w:val="nil"/>
              <w:bottom w:val="nil"/>
              <w:right w:val="single" w:color="auto" w:sz="4" w:space="0"/>
            </w:tcBorders>
            <w:vAlign w:val="top"/>
          </w:tcPr>
          <w:p>
            <w:pPr>
              <w:widowControl/>
              <w:spacing w:line="360" w:lineRule="exact"/>
              <w:jc w:val="center"/>
              <w:rPr>
                <w:rFonts w:hint="eastAsia" w:ascii="仿宋_GB2312" w:hAnsi="仿宋_GB2312" w:eastAsia="仿宋_GB2312" w:cs="仿宋_GB2312"/>
                <w:b/>
                <w:bCs/>
                <w:color w:val="000000"/>
                <w:kern w:val="0"/>
                <w:sz w:val="32"/>
                <w:szCs w:val="32"/>
              </w:rPr>
            </w:pPr>
          </w:p>
        </w:tc>
        <w:tc>
          <w:tcPr>
            <w:tcW w:w="3903" w:type="dxa"/>
            <w:gridSpan w:val="4"/>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45" w:type="dxa"/>
            <w:tcBorders>
              <w:top w:val="nil"/>
              <w:left w:val="nil"/>
              <w:bottom w:val="nil"/>
              <w:right w:val="single" w:color="auto" w:sz="4" w:space="0"/>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948" w:type="dxa"/>
            <w:tcBorders>
              <w:left w:val="single" w:color="auto" w:sz="4" w:space="0"/>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779" w:type="dxa"/>
            <w:tcBorders>
              <w:left w:val="nil"/>
              <w:bottom w:val="nil"/>
              <w:right w:val="single" w:color="auto" w:sz="4" w:space="0"/>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780" w:type="dxa"/>
            <w:gridSpan w:val="2"/>
            <w:tcBorders>
              <w:left w:val="nil"/>
              <w:bottom w:val="nil"/>
              <w:right w:val="single" w:color="auto" w:sz="4" w:space="0"/>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1395" w:type="dxa"/>
            <w:tcBorders>
              <w:left w:val="nil"/>
              <w:bottom w:val="nil"/>
              <w:right w:val="single" w:color="auto" w:sz="4" w:space="0"/>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c>
          <w:tcPr>
            <w:tcW w:w="1395" w:type="dxa"/>
            <w:tcBorders>
              <w:top w:val="nil"/>
              <w:left w:val="single" w:color="auto" w:sz="4" w:space="0"/>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综合医疗服务类</w:t>
            </w:r>
          </w:p>
        </w:tc>
        <w:tc>
          <w:tcPr>
            <w:tcW w:w="1559"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医技诊疗类</w:t>
            </w:r>
          </w:p>
        </w:tc>
        <w:tc>
          <w:tcPr>
            <w:tcW w:w="1560"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临床诊疗类</w:t>
            </w:r>
          </w:p>
        </w:tc>
        <w:tc>
          <w:tcPr>
            <w:tcW w:w="2790"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中医及民族医诊疗类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59"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60"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2790"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4（一级分类）</w:t>
            </w:r>
          </w:p>
        </w:tc>
      </w:tr>
    </w:tbl>
    <w:p>
      <w:pPr>
        <w:widowControl/>
        <w:spacing w:line="200" w:lineRule="exact"/>
        <w:rPr>
          <w:rFonts w:hint="eastAsia" w:ascii="仿宋_GB2312" w:hAnsi="仿宋_GB2312" w:eastAsia="仿宋_GB2312" w:cs="仿宋_GB2312"/>
          <w:bCs/>
          <w:color w:val="000000"/>
          <w:kern w:val="0"/>
          <w:sz w:val="32"/>
          <w:szCs w:val="32"/>
        </w:rPr>
      </w:pPr>
    </w:p>
    <w:tbl>
      <w:tblPr>
        <w:tblStyle w:val="2"/>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4090" w:type="dxa"/>
            <w:gridSpan w:val="4"/>
            <w:tcBorders>
              <w:top w:val="nil"/>
              <w:left w:val="single" w:color="auto" w:sz="4" w:space="0"/>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nil"/>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918"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107"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107"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47" w:type="dxa"/>
            <w:gridSpan w:val="2"/>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48"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417"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418" w:type="dxa"/>
            <w:tcBorders>
              <w:top w:val="nil"/>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临床各系统诊疗</w:t>
            </w:r>
          </w:p>
        </w:tc>
        <w:tc>
          <w:tcPr>
            <w:tcW w:w="2214"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经血管介入性治疗</w:t>
            </w:r>
          </w:p>
        </w:tc>
        <w:tc>
          <w:tcPr>
            <w:tcW w:w="1295"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手术治疗</w:t>
            </w:r>
          </w:p>
        </w:tc>
        <w:tc>
          <w:tcPr>
            <w:tcW w:w="2835"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6"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p>
        </w:tc>
        <w:tc>
          <w:tcPr>
            <w:tcW w:w="2214"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w:t>
            </w:r>
          </w:p>
        </w:tc>
        <w:tc>
          <w:tcPr>
            <w:tcW w:w="1295"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p>
        </w:tc>
        <w:tc>
          <w:tcPr>
            <w:tcW w:w="2835"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34（二级分类）</w:t>
            </w:r>
          </w:p>
        </w:tc>
      </w:tr>
    </w:tbl>
    <w:p>
      <w:pPr>
        <w:widowControl/>
        <w:spacing w:line="200" w:lineRule="exact"/>
        <w:jc w:val="left"/>
        <w:rPr>
          <w:rFonts w:hint="eastAsia" w:ascii="仿宋_GB2312" w:hAnsi="仿宋_GB2312" w:eastAsia="仿宋_GB2312" w:cs="仿宋_GB2312"/>
          <w:color w:val="000000"/>
          <w:kern w:val="0"/>
          <w:sz w:val="32"/>
          <w:szCs w:val="32"/>
        </w:rPr>
      </w:pPr>
    </w:p>
    <w:tbl>
      <w:tblPr>
        <w:tblStyle w:val="2"/>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4232" w:type="dxa"/>
            <w:gridSpan w:val="7"/>
            <w:tcBorders>
              <w:top w:val="nil"/>
              <w:left w:val="single" w:color="auto" w:sz="4" w:space="0"/>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4" w:type="dxa"/>
            <w:tcBorders>
              <w:top w:val="nil"/>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355"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850"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851"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921"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921" w:type="dxa"/>
            <w:gridSpan w:val="2"/>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63"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63"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12"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12"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31"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31" w:type="dxa"/>
            <w:tcBorders>
              <w:top w:val="nil"/>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麻醉</w:t>
            </w:r>
          </w:p>
        </w:tc>
        <w:tc>
          <w:tcPr>
            <w:tcW w:w="1701"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神经系统手术</w:t>
            </w:r>
          </w:p>
        </w:tc>
        <w:tc>
          <w:tcPr>
            <w:tcW w:w="1842"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内分泌系统手术</w:t>
            </w:r>
          </w:p>
        </w:tc>
        <w:tc>
          <w:tcPr>
            <w:tcW w:w="1326"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眼部手术</w:t>
            </w:r>
          </w:p>
        </w:tc>
        <w:tc>
          <w:tcPr>
            <w:tcW w:w="1424"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耳部手术</w:t>
            </w:r>
          </w:p>
        </w:tc>
        <w:tc>
          <w:tcPr>
            <w:tcW w:w="1462"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3301</w:t>
            </w:r>
          </w:p>
        </w:tc>
        <w:tc>
          <w:tcPr>
            <w:tcW w:w="1701"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3302</w:t>
            </w:r>
          </w:p>
        </w:tc>
        <w:tc>
          <w:tcPr>
            <w:tcW w:w="1842"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3303</w:t>
            </w:r>
          </w:p>
        </w:tc>
        <w:tc>
          <w:tcPr>
            <w:tcW w:w="1326"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w:t>
            </w:r>
          </w:p>
        </w:tc>
        <w:tc>
          <w:tcPr>
            <w:tcW w:w="2886" w:type="dxa"/>
            <w:gridSpan w:val="4"/>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3305  ……（三级分类）</w:t>
            </w:r>
          </w:p>
        </w:tc>
      </w:tr>
    </w:tbl>
    <w:p>
      <w:pPr>
        <w:widowControl/>
        <w:spacing w:line="200" w:lineRule="exact"/>
        <w:jc w:val="left"/>
        <w:rPr>
          <w:rFonts w:hint="eastAsia" w:ascii="仿宋_GB2312" w:hAnsi="仿宋_GB2312" w:eastAsia="仿宋_GB2312" w:cs="仿宋_GB2312"/>
          <w:color w:val="000000"/>
          <w:kern w:val="0"/>
          <w:sz w:val="32"/>
          <w:szCs w:val="32"/>
        </w:rPr>
      </w:pPr>
    </w:p>
    <w:tbl>
      <w:tblPr>
        <w:tblStyle w:val="2"/>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737"/>
        <w:gridCol w:w="595"/>
        <w:gridCol w:w="595"/>
        <w:gridCol w:w="708"/>
        <w:gridCol w:w="709"/>
        <w:gridCol w:w="779"/>
        <w:gridCol w:w="668"/>
        <w:gridCol w:w="112"/>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19" w:type="dxa"/>
            <w:gridSpan w:val="8"/>
            <w:tcBorders>
              <w:top w:val="nil"/>
              <w:left w:val="nil"/>
              <w:bottom w:val="nil"/>
              <w:right w:val="single" w:color="auto" w:sz="4" w:space="0"/>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3798" w:type="dxa"/>
            <w:gridSpan w:val="5"/>
            <w:tcBorders>
              <w:top w:val="nil"/>
              <w:left w:val="single" w:color="auto" w:sz="4" w:space="0"/>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8" w:type="dxa"/>
            <w:tcBorders>
              <w:top w:val="nil"/>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37"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595"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595"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08"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09"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79"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780" w:type="dxa"/>
            <w:gridSpan w:val="2"/>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205"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1206" w:type="dxa"/>
            <w:tcBorders>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37" w:type="dxa"/>
            <w:tcBorders>
              <w:left w:val="nil"/>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638" w:type="dxa"/>
            <w:tcBorders>
              <w:top w:val="nil"/>
              <w:bottom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眼睑手术</w:t>
            </w:r>
          </w:p>
        </w:tc>
        <w:tc>
          <w:tcPr>
            <w:tcW w:w="1190"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泪器手术</w:t>
            </w:r>
          </w:p>
        </w:tc>
        <w:tc>
          <w:tcPr>
            <w:tcW w:w="1417"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结膜手术</w:t>
            </w:r>
          </w:p>
        </w:tc>
        <w:tc>
          <w:tcPr>
            <w:tcW w:w="1559" w:type="dxa"/>
            <w:gridSpan w:val="3"/>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角膜手术</w:t>
            </w:r>
          </w:p>
        </w:tc>
        <w:tc>
          <w:tcPr>
            <w:tcW w:w="2411"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 xml:space="preserve">虹膜睫状体和前房手术 </w:t>
            </w:r>
          </w:p>
        </w:tc>
        <w:tc>
          <w:tcPr>
            <w:tcW w:w="1275"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5"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330401</w:t>
            </w:r>
          </w:p>
        </w:tc>
        <w:tc>
          <w:tcPr>
            <w:tcW w:w="1190"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330402</w:t>
            </w:r>
          </w:p>
        </w:tc>
        <w:tc>
          <w:tcPr>
            <w:tcW w:w="1417" w:type="dxa"/>
            <w:gridSpan w:val="2"/>
            <w:tcBorders>
              <w:top w:val="nil"/>
              <w:left w:val="nil"/>
              <w:bottom w:val="nil"/>
              <w:right w:val="nil"/>
            </w:tcBorders>
            <w:vAlign w:val="top"/>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330403</w:t>
            </w:r>
          </w:p>
        </w:tc>
        <w:tc>
          <w:tcPr>
            <w:tcW w:w="1559" w:type="dxa"/>
            <w:gridSpan w:val="3"/>
            <w:tcBorders>
              <w:top w:val="nil"/>
              <w:left w:val="nil"/>
              <w:bottom w:val="nil"/>
              <w:right w:val="nil"/>
            </w:tcBorders>
            <w:vAlign w:val="top"/>
          </w:tcPr>
          <w:p>
            <w:pPr>
              <w:widowControl/>
              <w:spacing w:line="360" w:lineRule="exact"/>
              <w:ind w:firstLine="160" w:firstLineChars="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w:t>
            </w:r>
          </w:p>
        </w:tc>
        <w:tc>
          <w:tcPr>
            <w:tcW w:w="3686" w:type="dxa"/>
            <w:gridSpan w:val="4"/>
            <w:tcBorders>
              <w:top w:val="nil"/>
              <w:left w:val="nil"/>
              <w:bottom w:val="nil"/>
              <w:right w:val="nil"/>
            </w:tcBorders>
            <w:vAlign w:val="top"/>
          </w:tcPr>
          <w:p>
            <w:pPr>
              <w:widowControl/>
              <w:spacing w:line="3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330405  ……（四级分类）</w:t>
            </w:r>
          </w:p>
        </w:tc>
      </w:tr>
    </w:tbl>
    <w:p>
      <w:pPr>
        <w:widowControl/>
        <w:spacing w:line="200" w:lineRule="exact"/>
        <w:rPr>
          <w:rFonts w:hint="eastAsia" w:ascii="仿宋_GB2312" w:hAnsi="仿宋_GB2312" w:eastAsia="仿宋_GB2312" w:cs="仿宋_GB2312"/>
          <w:bCs/>
          <w:color w:val="000000"/>
          <w:kern w:val="0"/>
          <w:sz w:val="32"/>
          <w:szCs w:val="32"/>
        </w:rPr>
      </w:pPr>
    </w:p>
    <w:tbl>
      <w:tblPr>
        <w:tblStyle w:val="2"/>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93" w:type="dxa"/>
            <w:tcBorders>
              <w:top w:val="nil"/>
              <w:lef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c>
          <w:tcPr>
            <w:tcW w:w="4693" w:type="dxa"/>
            <w:tcBorders>
              <w:top w:val="nil"/>
              <w:right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6" w:type="dxa"/>
            <w:gridSpan w:val="2"/>
            <w:tcBorders>
              <w:bottom w:val="nil"/>
            </w:tcBorders>
            <w:vAlign w:val="top"/>
          </w:tcPr>
          <w:p>
            <w:pPr>
              <w:widowControl/>
              <w:spacing w:line="360" w:lineRule="exact"/>
              <w:rPr>
                <w:rFonts w:hint="eastAsia"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vAlign w:val="top"/>
          </w:tcPr>
          <w:p>
            <w:pPr>
              <w:widowControl/>
              <w:spacing w:line="360" w:lineRule="exact"/>
              <w:ind w:left="1155" w:leftChars="5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330404001 表层角膜镜片镶嵌术      （第五级：终极项目）</w:t>
            </w:r>
          </w:p>
          <w:p>
            <w:pPr>
              <w:widowControl/>
              <w:spacing w:line="360" w:lineRule="exact"/>
              <w:ind w:left="1155" w:leftChars="5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330404002 近视性放射状角膜切开术 ……</w:t>
            </w:r>
          </w:p>
        </w:tc>
      </w:tr>
    </w:tbl>
    <w:p>
      <w:pPr>
        <w:tabs>
          <w:tab w:val="left" w:pos="5395"/>
        </w:tabs>
        <w:spacing w:line="560" w:lineRule="exact"/>
        <w:ind w:firstLine="640" w:firstLineChars="200"/>
        <w:jc w:val="left"/>
        <w:rPr>
          <w:rFonts w:hint="eastAsia" w:ascii="仿宋_GB2312" w:hAnsi="仿宋_GB2312" w:eastAsia="仿宋_GB2312" w:cs="仿宋_GB2312"/>
          <w:color w:val="000000"/>
          <w:kern w:val="0"/>
          <w:sz w:val="32"/>
          <w:szCs w:val="32"/>
        </w:rPr>
      </w:pPr>
    </w:p>
    <w:p>
      <w:p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二、项目要素</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《广西医疗服务项目价格（2021年版）》中每项医疗服务价格项目设财务分类、项目编码、项目名称、项目内涵、除外内容、计价单位、价格和说明共8个栏目。</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1.财务分类</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分类是根据财政部部门和卫生健康部门制定的有关医院财务制度规定的医疗收入项目类别确定，财务分类码采用大写英文字母，其中：B为床位费、C为诊查费、D为检查费、E为治疗费、F为护理费、G为手术费、H为化验费、I为其他费、J为特殊材料费。</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2.项目编码</w:t>
      </w:r>
    </w:p>
    <w:p>
      <w:pPr>
        <w:tabs>
          <w:tab w:val="left" w:pos="5395"/>
        </w:tabs>
        <w:adjustRightInd w:val="0"/>
        <w:snapToGrid w:val="0"/>
        <w:spacing w:line="58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项目编码采用顺序码</w:t>
      </w:r>
      <w:r>
        <w:rPr>
          <w:rFonts w:hint="eastAsia" w:ascii="仿宋_GB2312" w:hAnsi="仿宋_GB2312" w:eastAsia="仿宋_GB2312" w:cs="仿宋_GB2312"/>
          <w:sz w:val="32"/>
          <w:szCs w:val="32"/>
        </w:rPr>
        <w:t>设为9位。</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项目编码从左至右，第1位为一级分类码，第2</w:t>
      </w:r>
      <w:r>
        <w:rPr>
          <w:rFonts w:hint="eastAsia" w:ascii="仿宋_GB2312" w:hAnsi="仿宋_GB2312" w:eastAsia="仿宋_GB2312" w:cs="仿宋_GB2312"/>
          <w:color w:val="000000"/>
          <w:sz w:val="32"/>
          <w:szCs w:val="32"/>
        </w:rPr>
        <w:t>位为二级分类码，第3—4位为三级分类码，第5—6位为四级分类码，第7—9位为项目顺序码。部分类别项目因分类简单，无第三、四级分类，分类编码记为“00”。</w:t>
      </w:r>
      <w:r>
        <w:rPr>
          <w:rFonts w:hint="eastAsia" w:ascii="仿宋_GB2312" w:hAnsi="仿宋_GB2312" w:eastAsia="仿宋_GB2312" w:cs="仿宋_GB2312"/>
          <w:sz w:val="32"/>
          <w:szCs w:val="32"/>
        </w:rPr>
        <w:t>拆分出来的最终级收费项目编码以自治区统一的1-9位编码为基础，采用1-9+N位编码管理，每一个编码对应一个项目。其中由主项目原项目内涵拆分出来的项目，第“N”位编码统一用“-1、-2…”顺延编号；由一到五级项目原说明拆分出来的项目，第“N”位编码统一用“/1、/2…”顺延编号；“6岁及以下儿童”的项目第“N”位编码统一用符合“c”；手术治疗类的同切口项目第“N”位编码用“a”，再次手术加收项目第“N”位编码用“b”；经血管介入性治疗类项目每增加一根血管加收的项目第“N”位编码用“d”进行编号。</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3.项目名称</w:t>
      </w:r>
    </w:p>
    <w:p>
      <w:pPr>
        <w:tabs>
          <w:tab w:val="left" w:pos="5395"/>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项目名称为中文标准名称，部分项目名称中在括号内列出非中文名称或缩写。</w:t>
      </w:r>
      <w:r>
        <w:rPr>
          <w:rFonts w:hint="eastAsia" w:ascii="仿宋_GB2312" w:hAnsi="仿宋_GB2312" w:eastAsia="仿宋_GB2312" w:cs="仿宋_GB2312"/>
          <w:sz w:val="32"/>
          <w:szCs w:val="32"/>
        </w:rPr>
        <w:t>主项目内涵和说明拆分出来的项目，名称加后缀（如部位、方法、加收等）进行区分。</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4.项目内涵</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用于明确项目的服务范围、内容、方式和手段。项目内涵使用“含”、“不含”、“包括”、“指”等4个专用名词进行界定：</w:t>
      </w:r>
    </w:p>
    <w:p>
      <w:pPr>
        <w:numPr>
          <w:ilvl w:val="0"/>
          <w:numId w:val="1"/>
        </w:num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含：表示在医疗服务项目中应当提供的服务内容，这些服务内容不得单独分解收费。但在特殊情况下，由于患者病情需要只提供其中部分服务内容，也按此项标准计价。</w:t>
      </w:r>
    </w:p>
    <w:p>
      <w:pPr>
        <w:numPr>
          <w:ilvl w:val="0"/>
          <w:numId w:val="1"/>
        </w:num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不含：表示“不含”后面所列的服务内容可单独计价。</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（3）包括：表示在“包括”后面所列的不同服务内容和不同技术方法，均按本项目同一价格标准计价。</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（4）指：在“指”后面所列的内容，表示完成该诊疗项目的不同方法，或该诊疗项目的适用范围。由于患者病情需要只提供其中部分服务内容，也按此项标准计价；如无特别说明，不得重复计费。</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5.除外内容</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指在本项目中需要另行收费的药物、特殊医用消耗材料和组织器官移植的供体等。</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6.计价单位</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指提供该项目服务时的基本计价方式。</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7.价格</w:t>
      </w:r>
    </w:p>
    <w:p>
      <w:pPr>
        <w:tabs>
          <w:tab w:val="left" w:pos="5395"/>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指完成该项服务可以收取的费用</w:t>
      </w:r>
      <w:r>
        <w:rPr>
          <w:rFonts w:hint="eastAsia" w:ascii="仿宋_GB2312" w:hAnsi="仿宋_GB2312" w:eastAsia="仿宋_GB2312" w:cs="仿宋_GB2312"/>
          <w:sz w:val="32"/>
          <w:szCs w:val="32"/>
        </w:rPr>
        <w:t>，为非营利性医疗卫生机构政府指导价的最高限价，以人民币计价。市场调节价和特需医疗服务项目的价格，医疗卫生机构可根据成本等情况制定不同的价格标准。所有项目的价格尾数以“四舍五入”的原则保留到角。</w:t>
      </w:r>
    </w:p>
    <w:p>
      <w:pPr>
        <w:tabs>
          <w:tab w:val="left" w:pos="5395"/>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加收项目（注明按比例加收的除外）不进行分级定价，6岁及以下儿童不再按比例加收。</w:t>
      </w:r>
    </w:p>
    <w:p>
      <w:pPr>
        <w:tabs>
          <w:tab w:val="left" w:pos="5395"/>
        </w:tabs>
        <w:adjustRightInd w:val="0"/>
        <w:snapToGrid w:val="0"/>
        <w:spacing w:line="58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8.说明</w:t>
      </w:r>
    </w:p>
    <w:p>
      <w:pPr>
        <w:tabs>
          <w:tab w:val="left" w:pos="5395"/>
        </w:tabs>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指本项目在定价时需要特殊说明的相关事宜。</w:t>
      </w:r>
      <w:r>
        <w:rPr>
          <w:rFonts w:hint="eastAsia" w:ascii="仿宋_GB2312" w:hAnsi="仿宋_GB2312" w:eastAsia="仿宋_GB2312" w:cs="仿宋_GB2312"/>
          <w:sz w:val="32"/>
          <w:szCs w:val="32"/>
        </w:rPr>
        <w:t>大类说明适用于同类向下各级所有项目（项目内涵、除外内容、说明等有明确的除外）。</w:t>
      </w:r>
    </w:p>
    <w:p>
      <w:p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三、项目查找</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对于科室间共同使用的项目，已归入综合医疗服务类。</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对于临床各系统诊疗类和手术治疗类项目，不按临床科室列项，请参照国际疾病分类顺序，按照相应的解剖系统和部位查找。</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对于两个以上医技科室均可开展的医技诊疗项目，查找时请注意医技诊疗类的说明。</w:t>
      </w:r>
    </w:p>
    <w:p>
      <w:pPr>
        <w:adjustRightInd w:val="0"/>
        <w:snapToGrid w:val="0"/>
        <w:spacing w:line="58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四、其他说明</w:t>
      </w:r>
    </w:p>
    <w:p>
      <w:pPr>
        <w:tabs>
          <w:tab w:val="left" w:pos="5395"/>
        </w:tabs>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1.同一项医疗服务价格项目中，由于增加技术难度、增加（或减少）诊疗范围或使用特殊仪器，费用增减已在“说明”中予以明确。</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2.同一项医疗服务价格项目中，不以设备、试剂的型号和产地区分定价。</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3.监护（监测）收费必须提供相应的记录或报告。</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4.收取各类片费、图文报告费，必须向患者提供胶片（图片）或图文报告，用于教学或医院存档目的的胶片（图片）和图文报告不得向患者收费。</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5.开展的所有医疗服务项目，需符合卫生健康行政管理部门有关规定。</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6.因操作失误、仪器性能差错等原因，导致需要重新检查、检验及治疗的，一律不得向患者另行收费。</w:t>
      </w:r>
    </w:p>
    <w:p>
      <w:pPr>
        <w:adjustRightInd w:val="0"/>
        <w:snapToGri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7.附件</w:t>
      </w:r>
      <w:r>
        <w:rPr>
          <w:rFonts w:hint="eastAsia" w:ascii="仿宋_GB2312" w:hAnsi="仿宋_GB2312" w:eastAsia="仿宋_GB2312" w:cs="仿宋_GB2312"/>
          <w:sz w:val="32"/>
          <w:szCs w:val="32"/>
        </w:rPr>
        <w:t>中文字间“/”表示“或者”，指并列关系。例如“门/急诊留观诊察费”，指门诊或急诊留观诊察费。</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FA3"/>
    <w:multiLevelType w:val="singleLevel"/>
    <w:tmpl w:val="61610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627BE"/>
    <w:rsid w:val="214627BE"/>
    <w:rsid w:val="24171F74"/>
    <w:rsid w:val="73C42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2021-12-30T06:39:00Z</dcterms:created>
  <dc:creator>dengd</dc:creator>
  <cp:lastModifiedBy>穎喵(=^.^=)</cp:lastModifiedBy>
  <dcterms:modified xsi:type="dcterms:W3CDTF">2022-01-10T08:25:32Z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79B6D9995B104B51BEC62945CEE98B5A</vt:lpwstr>
  </property>
</Properties>
</file>